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BE5F7" w14:textId="56515D13" w:rsidR="004124A6" w:rsidRPr="008D1A13" w:rsidRDefault="004124A6" w:rsidP="004124A6">
      <w:pPr>
        <w:spacing w:line="360" w:lineRule="auto"/>
        <w:rPr>
          <w:rFonts w:asciiTheme="majorHAnsi" w:hAnsiTheme="majorHAnsi"/>
        </w:rPr>
      </w:pPr>
      <w:r>
        <w:rPr>
          <w:rFonts w:asciiTheme="majorHAnsi" w:hAnsiTheme="majorHAnsi"/>
          <w:b/>
          <w:sz w:val="46"/>
          <w:szCs w:val="46"/>
        </w:rPr>
        <w:t>SUPERVISION POLICY</w:t>
      </w:r>
      <w:r w:rsidR="00A81408">
        <w:rPr>
          <w:rFonts w:asciiTheme="majorHAnsi" w:hAnsiTheme="majorHAnsi"/>
          <w:b/>
          <w:sz w:val="46"/>
          <w:szCs w:val="46"/>
        </w:rPr>
        <w:br/>
      </w:r>
      <w:r w:rsidRPr="008D1A13">
        <w:rPr>
          <w:rFonts w:asciiTheme="majorHAnsi" w:hAnsiTheme="majorHAnsi"/>
          <w:highlight w:val="yellow"/>
        </w:rPr>
        <w:t>“Supervision is an integral part of the whole care and education experience. At its most basic level, supervision helps to protect children from hazards or harm that may arise in their daily experiences in play, interactions with others, and daily routines” (Victoria Department of Education and Training, 2010, p.1)</w:t>
      </w:r>
    </w:p>
    <w:p w14:paraId="0611F81B" w14:textId="37B9EBE8" w:rsidR="0045799A" w:rsidRPr="0036669C" w:rsidRDefault="00AF6C03" w:rsidP="004124A6">
      <w:pPr>
        <w:spacing w:line="276"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072" w:type="dxa"/>
        <w:tblInd w:w="108" w:type="dxa"/>
        <w:tblLayout w:type="fixed"/>
        <w:tblLook w:val="04A0" w:firstRow="1" w:lastRow="0" w:firstColumn="1" w:lastColumn="0" w:noHBand="0" w:noVBand="1"/>
      </w:tblPr>
      <w:tblGrid>
        <w:gridCol w:w="659"/>
        <w:gridCol w:w="2176"/>
        <w:gridCol w:w="6237"/>
      </w:tblGrid>
      <w:tr w:rsidR="0036669C" w:rsidRPr="00151775" w14:paraId="07560DF8" w14:textId="77777777" w:rsidTr="00D85812">
        <w:trPr>
          <w:trHeight w:val="495"/>
        </w:trPr>
        <w:tc>
          <w:tcPr>
            <w:tcW w:w="9072" w:type="dxa"/>
            <w:gridSpan w:val="3"/>
            <w:shd w:val="clear" w:color="auto" w:fill="D9D9D9" w:themeFill="background1" w:themeFillShade="D9"/>
            <w:vAlign w:val="center"/>
          </w:tcPr>
          <w:p w14:paraId="62483640" w14:textId="5AC3B115" w:rsidR="0036669C" w:rsidRPr="00151775" w:rsidRDefault="0036669C" w:rsidP="004124A6">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4124A6">
              <w:t>UALITY AREA 2</w:t>
            </w:r>
            <w:r>
              <w:t xml:space="preserve">:  </w:t>
            </w:r>
            <w:r w:rsidR="004124A6">
              <w:rPr>
                <w:rFonts w:ascii="Calibri Light" w:hAnsi="Calibri Light"/>
                <w:color w:val="000000" w:themeColor="text1"/>
                <w:sz w:val="24"/>
                <w:szCs w:val="24"/>
                <w:lang w:val="en-US"/>
              </w:rPr>
              <w:t>CHILDREN’S HEALTH AND SAFETY</w:t>
            </w:r>
          </w:p>
        </w:tc>
      </w:tr>
      <w:tr w:rsidR="004124A6" w14:paraId="709C42F0" w14:textId="77777777" w:rsidTr="004124A6">
        <w:trPr>
          <w:trHeight w:val="503"/>
        </w:trPr>
        <w:tc>
          <w:tcPr>
            <w:tcW w:w="659" w:type="dxa"/>
            <w:vAlign w:val="center"/>
          </w:tcPr>
          <w:p w14:paraId="0B6298F9" w14:textId="0FB114EE" w:rsidR="004124A6" w:rsidRPr="004124A6" w:rsidRDefault="004124A6" w:rsidP="004124A6">
            <w:pPr>
              <w:jc w:val="center"/>
              <w:rPr>
                <w:rFonts w:asciiTheme="majorHAnsi" w:hAnsiTheme="majorHAnsi"/>
              </w:rPr>
            </w:pPr>
            <w:r w:rsidRPr="004124A6">
              <w:rPr>
                <w:rFonts w:asciiTheme="majorHAnsi" w:hAnsiTheme="majorHAnsi"/>
              </w:rPr>
              <w:t>2.2</w:t>
            </w:r>
          </w:p>
        </w:tc>
        <w:tc>
          <w:tcPr>
            <w:tcW w:w="2176" w:type="dxa"/>
            <w:vAlign w:val="center"/>
          </w:tcPr>
          <w:p w14:paraId="770D3442" w14:textId="2382A42E" w:rsidR="004124A6" w:rsidRPr="004124A6" w:rsidRDefault="004124A6" w:rsidP="004124A6">
            <w:pPr>
              <w:rPr>
                <w:rFonts w:asciiTheme="majorHAnsi" w:hAnsiTheme="majorHAnsi"/>
              </w:rPr>
            </w:pPr>
            <w:r w:rsidRPr="004124A6">
              <w:rPr>
                <w:rFonts w:asciiTheme="majorHAnsi" w:hAnsiTheme="majorHAnsi"/>
              </w:rPr>
              <w:t xml:space="preserve">Safety </w:t>
            </w:r>
          </w:p>
        </w:tc>
        <w:tc>
          <w:tcPr>
            <w:tcW w:w="6237" w:type="dxa"/>
            <w:vAlign w:val="center"/>
          </w:tcPr>
          <w:p w14:paraId="0921CC03" w14:textId="0DCFF7ED" w:rsidR="004124A6" w:rsidRPr="004124A6" w:rsidRDefault="004124A6" w:rsidP="004124A6">
            <w:pPr>
              <w:rPr>
                <w:rFonts w:asciiTheme="majorHAnsi" w:hAnsiTheme="majorHAnsi"/>
              </w:rPr>
            </w:pPr>
            <w:r w:rsidRPr="004124A6">
              <w:rPr>
                <w:rFonts w:asciiTheme="majorHAnsi" w:hAnsiTheme="majorHAnsi"/>
              </w:rPr>
              <w:t xml:space="preserve">Each child is protected. </w:t>
            </w:r>
          </w:p>
        </w:tc>
      </w:tr>
      <w:tr w:rsidR="004124A6" w14:paraId="141C76D6" w14:textId="77777777" w:rsidTr="004124A6">
        <w:trPr>
          <w:trHeight w:val="666"/>
        </w:trPr>
        <w:tc>
          <w:tcPr>
            <w:tcW w:w="659" w:type="dxa"/>
            <w:shd w:val="clear" w:color="auto" w:fill="F2F2F2" w:themeFill="background1" w:themeFillShade="F2"/>
            <w:vAlign w:val="center"/>
          </w:tcPr>
          <w:p w14:paraId="2EA46928" w14:textId="50FB85FA" w:rsidR="004124A6" w:rsidRPr="004124A6" w:rsidRDefault="004124A6" w:rsidP="004124A6">
            <w:pPr>
              <w:jc w:val="center"/>
              <w:rPr>
                <w:rFonts w:asciiTheme="majorHAnsi" w:hAnsiTheme="majorHAnsi"/>
              </w:rPr>
            </w:pPr>
            <w:r w:rsidRPr="004124A6">
              <w:rPr>
                <w:rFonts w:asciiTheme="majorHAnsi" w:hAnsiTheme="majorHAnsi"/>
              </w:rPr>
              <w:t>2.2.1</w:t>
            </w:r>
          </w:p>
        </w:tc>
        <w:tc>
          <w:tcPr>
            <w:tcW w:w="2176" w:type="dxa"/>
            <w:shd w:val="clear" w:color="auto" w:fill="F2F2F2" w:themeFill="background1" w:themeFillShade="F2"/>
            <w:vAlign w:val="center"/>
          </w:tcPr>
          <w:p w14:paraId="7462F700" w14:textId="74F12DF6" w:rsidR="004124A6" w:rsidRPr="004124A6" w:rsidRDefault="004124A6" w:rsidP="004124A6">
            <w:pPr>
              <w:rPr>
                <w:rFonts w:asciiTheme="majorHAnsi" w:hAnsiTheme="majorHAnsi"/>
              </w:rPr>
            </w:pPr>
            <w:r w:rsidRPr="004124A6">
              <w:rPr>
                <w:rFonts w:asciiTheme="majorHAnsi" w:hAnsiTheme="majorHAnsi"/>
              </w:rPr>
              <w:t xml:space="preserve">Supervision </w:t>
            </w:r>
          </w:p>
        </w:tc>
        <w:tc>
          <w:tcPr>
            <w:tcW w:w="6237" w:type="dxa"/>
            <w:shd w:val="clear" w:color="auto" w:fill="F2F2F2" w:themeFill="background1" w:themeFillShade="F2"/>
            <w:vAlign w:val="center"/>
          </w:tcPr>
          <w:p w14:paraId="13AAA22E" w14:textId="54E59952" w:rsidR="004124A6" w:rsidRPr="004124A6" w:rsidRDefault="004124A6" w:rsidP="004124A6">
            <w:pPr>
              <w:rPr>
                <w:rFonts w:asciiTheme="majorHAnsi" w:hAnsiTheme="majorHAnsi"/>
              </w:rPr>
            </w:pPr>
            <w:r w:rsidRPr="004124A6">
              <w:rPr>
                <w:rFonts w:asciiTheme="majorHAnsi" w:hAnsiTheme="majorHAnsi"/>
              </w:rPr>
              <w:t>At all times, reasonable precautions and adequate supervision ensure children are protected from harm and hazard.</w:t>
            </w:r>
          </w:p>
        </w:tc>
      </w:tr>
      <w:tr w:rsidR="004124A6" w14:paraId="69AD9603" w14:textId="77777777" w:rsidTr="00380118">
        <w:trPr>
          <w:trHeight w:val="993"/>
        </w:trPr>
        <w:tc>
          <w:tcPr>
            <w:tcW w:w="659" w:type="dxa"/>
            <w:vAlign w:val="center"/>
          </w:tcPr>
          <w:p w14:paraId="74B75F73" w14:textId="013118F7" w:rsidR="004124A6" w:rsidRPr="004124A6" w:rsidRDefault="004124A6" w:rsidP="004124A6">
            <w:pPr>
              <w:jc w:val="center"/>
              <w:rPr>
                <w:rFonts w:asciiTheme="majorHAnsi" w:hAnsiTheme="majorHAnsi"/>
              </w:rPr>
            </w:pPr>
            <w:r w:rsidRPr="004124A6">
              <w:rPr>
                <w:rFonts w:asciiTheme="majorHAnsi" w:hAnsiTheme="majorHAnsi"/>
              </w:rPr>
              <w:t>2.2.2</w:t>
            </w:r>
          </w:p>
        </w:tc>
        <w:tc>
          <w:tcPr>
            <w:tcW w:w="2176" w:type="dxa"/>
            <w:vAlign w:val="center"/>
          </w:tcPr>
          <w:p w14:paraId="39D5A594" w14:textId="71DA49B6" w:rsidR="004124A6" w:rsidRPr="004124A6" w:rsidRDefault="004124A6" w:rsidP="004124A6">
            <w:pPr>
              <w:rPr>
                <w:rFonts w:asciiTheme="majorHAnsi" w:hAnsiTheme="majorHAnsi"/>
              </w:rPr>
            </w:pPr>
            <w:r w:rsidRPr="004124A6">
              <w:rPr>
                <w:rFonts w:asciiTheme="majorHAnsi" w:hAnsiTheme="majorHAnsi"/>
              </w:rPr>
              <w:t xml:space="preserve">Incident and emergency management </w:t>
            </w:r>
          </w:p>
        </w:tc>
        <w:tc>
          <w:tcPr>
            <w:tcW w:w="6237" w:type="dxa"/>
            <w:vAlign w:val="center"/>
          </w:tcPr>
          <w:p w14:paraId="543E00B2" w14:textId="74CEACE6" w:rsidR="004124A6" w:rsidRPr="004124A6" w:rsidRDefault="004124A6" w:rsidP="004124A6">
            <w:pPr>
              <w:rPr>
                <w:rFonts w:asciiTheme="majorHAnsi" w:hAnsiTheme="majorHAnsi"/>
              </w:rPr>
            </w:pPr>
            <w:r w:rsidRPr="004124A6">
              <w:rPr>
                <w:rFonts w:asciiTheme="majorHAnsi" w:hAnsiTheme="majorHAnsi"/>
              </w:rPr>
              <w:t>Plans to effectively manage incidents and emergencies are developed in consultation with relevant authorities, practiced and implemented.</w:t>
            </w:r>
          </w:p>
        </w:tc>
      </w:tr>
    </w:tbl>
    <w:p w14:paraId="207B960A" w14:textId="16850A55" w:rsidR="00B35707" w:rsidRPr="00344B89" w:rsidRDefault="00B35707" w:rsidP="00B35707">
      <w:pPr>
        <w:spacing w:line="360" w:lineRule="auto"/>
        <w:rPr>
          <w:rFonts w:cs="Arial"/>
          <w:sz w:val="24"/>
          <w:szCs w:val="24"/>
          <w:lang w:val="en-US"/>
        </w:rPr>
      </w:pPr>
    </w:p>
    <w:tbl>
      <w:tblPr>
        <w:tblStyle w:val="TableGrid"/>
        <w:tblW w:w="9072" w:type="dxa"/>
        <w:tblInd w:w="108" w:type="dxa"/>
        <w:tblLook w:val="04A0" w:firstRow="1" w:lastRow="0" w:firstColumn="1" w:lastColumn="0" w:noHBand="0" w:noVBand="1"/>
      </w:tblPr>
      <w:tblGrid>
        <w:gridCol w:w="993"/>
        <w:gridCol w:w="8079"/>
      </w:tblGrid>
      <w:tr w:rsidR="00B35707" w:rsidRPr="00151775" w14:paraId="37274797" w14:textId="77777777" w:rsidTr="00DB2519">
        <w:trPr>
          <w:trHeight w:val="528"/>
        </w:trPr>
        <w:tc>
          <w:tcPr>
            <w:tcW w:w="9072" w:type="dxa"/>
            <w:gridSpan w:val="2"/>
            <w:shd w:val="clear" w:color="auto" w:fill="F2F2F2" w:themeFill="background1" w:themeFillShade="F2"/>
            <w:vAlign w:val="center"/>
          </w:tcPr>
          <w:p w14:paraId="4037C903" w14:textId="08EA1DD3" w:rsidR="00B35707" w:rsidRPr="00151775" w:rsidRDefault="00DB2519" w:rsidP="00B35707">
            <w:pPr>
              <w:ind w:hanging="27"/>
              <w:rPr>
                <w:rFonts w:ascii="Calibri Light" w:hAnsi="Calibri Light"/>
                <w:color w:val="000000" w:themeColor="text1"/>
                <w:sz w:val="24"/>
              </w:rPr>
            </w:pPr>
            <w:r w:rsidRPr="00344B89">
              <w:rPr>
                <w:rFonts w:cs="Arial"/>
                <w:sz w:val="24"/>
                <w:szCs w:val="24"/>
                <w:lang w:val="en-US"/>
              </w:rPr>
              <w:t>EDUCATION AND CARE SERVICES NATIONAL REGULATIONS</w:t>
            </w:r>
          </w:p>
        </w:tc>
      </w:tr>
      <w:tr w:rsidR="004124A6" w14:paraId="09FA8958" w14:textId="77777777" w:rsidTr="00DB2519">
        <w:trPr>
          <w:trHeight w:val="422"/>
        </w:trPr>
        <w:tc>
          <w:tcPr>
            <w:tcW w:w="993" w:type="dxa"/>
            <w:vAlign w:val="center"/>
          </w:tcPr>
          <w:p w14:paraId="78F23AFA" w14:textId="5CEED9F8" w:rsidR="004124A6" w:rsidRPr="003A2333" w:rsidRDefault="004124A6" w:rsidP="004124A6">
            <w:pPr>
              <w:jc w:val="center"/>
              <w:rPr>
                <w:rFonts w:asciiTheme="majorHAnsi" w:hAnsiTheme="majorHAnsi"/>
              </w:rPr>
            </w:pPr>
            <w:r w:rsidRPr="009B1C59">
              <w:rPr>
                <w:rFonts w:asciiTheme="majorHAnsi" w:hAnsiTheme="majorHAnsi"/>
              </w:rPr>
              <w:t>101</w:t>
            </w:r>
          </w:p>
        </w:tc>
        <w:tc>
          <w:tcPr>
            <w:tcW w:w="8079" w:type="dxa"/>
            <w:vAlign w:val="center"/>
          </w:tcPr>
          <w:p w14:paraId="7FCD81D3" w14:textId="219BABAF" w:rsidR="004124A6" w:rsidRPr="003A2333" w:rsidRDefault="004124A6" w:rsidP="004124A6">
            <w:pPr>
              <w:rPr>
                <w:rFonts w:asciiTheme="majorHAnsi" w:hAnsiTheme="majorHAnsi"/>
              </w:rPr>
            </w:pPr>
            <w:r w:rsidRPr="009B1C59">
              <w:rPr>
                <w:rFonts w:asciiTheme="majorHAnsi" w:hAnsiTheme="majorHAnsi"/>
              </w:rPr>
              <w:t>Conduct of risk assessment for excursions</w:t>
            </w:r>
          </w:p>
        </w:tc>
      </w:tr>
      <w:tr w:rsidR="004124A6" w14:paraId="05B2024B" w14:textId="77777777" w:rsidTr="00DB2519">
        <w:trPr>
          <w:trHeight w:val="422"/>
        </w:trPr>
        <w:tc>
          <w:tcPr>
            <w:tcW w:w="993" w:type="dxa"/>
            <w:shd w:val="clear" w:color="auto" w:fill="F2F2F2" w:themeFill="background1" w:themeFillShade="F2"/>
            <w:vAlign w:val="center"/>
          </w:tcPr>
          <w:p w14:paraId="4790F06C" w14:textId="256E99AC" w:rsidR="004124A6" w:rsidRPr="00F2574B" w:rsidRDefault="004124A6" w:rsidP="004124A6">
            <w:pPr>
              <w:jc w:val="center"/>
              <w:rPr>
                <w:rFonts w:asciiTheme="majorHAnsi" w:hAnsiTheme="majorHAnsi" w:cs="Calibri"/>
              </w:rPr>
            </w:pPr>
            <w:r w:rsidRPr="009B1C59">
              <w:rPr>
                <w:rFonts w:asciiTheme="majorHAnsi" w:hAnsiTheme="majorHAnsi"/>
              </w:rPr>
              <w:t>115</w:t>
            </w:r>
          </w:p>
        </w:tc>
        <w:tc>
          <w:tcPr>
            <w:tcW w:w="8079" w:type="dxa"/>
            <w:shd w:val="clear" w:color="auto" w:fill="F2F2F2" w:themeFill="background1" w:themeFillShade="F2"/>
            <w:vAlign w:val="center"/>
          </w:tcPr>
          <w:p w14:paraId="1E643781" w14:textId="6242AA23" w:rsidR="004124A6" w:rsidRPr="00F2574B" w:rsidRDefault="004124A6" w:rsidP="004124A6">
            <w:pPr>
              <w:rPr>
                <w:rFonts w:asciiTheme="majorHAnsi" w:hAnsiTheme="majorHAnsi" w:cs="Calibri"/>
              </w:rPr>
            </w:pPr>
            <w:r w:rsidRPr="009B1C59">
              <w:rPr>
                <w:rFonts w:asciiTheme="majorHAnsi" w:hAnsiTheme="majorHAnsi"/>
              </w:rPr>
              <w:t>Premises designed to facilitate supervision</w:t>
            </w:r>
          </w:p>
        </w:tc>
      </w:tr>
      <w:tr w:rsidR="004124A6" w14:paraId="7BD1BA5A" w14:textId="77777777" w:rsidTr="00DB2519">
        <w:trPr>
          <w:trHeight w:val="422"/>
        </w:trPr>
        <w:tc>
          <w:tcPr>
            <w:tcW w:w="993" w:type="dxa"/>
            <w:vAlign w:val="center"/>
          </w:tcPr>
          <w:p w14:paraId="3C3FF4F8" w14:textId="3285F348" w:rsidR="004124A6" w:rsidRPr="0045377A" w:rsidRDefault="004124A6" w:rsidP="004124A6">
            <w:pPr>
              <w:jc w:val="center"/>
              <w:rPr>
                <w:rFonts w:asciiTheme="majorHAnsi" w:hAnsiTheme="majorHAnsi"/>
              </w:rPr>
            </w:pPr>
            <w:r w:rsidRPr="009B1C59">
              <w:rPr>
                <w:rFonts w:asciiTheme="majorHAnsi" w:hAnsiTheme="majorHAnsi"/>
              </w:rPr>
              <w:t>120</w:t>
            </w:r>
          </w:p>
        </w:tc>
        <w:tc>
          <w:tcPr>
            <w:tcW w:w="8079" w:type="dxa"/>
            <w:vAlign w:val="center"/>
          </w:tcPr>
          <w:p w14:paraId="7CA5B305" w14:textId="57D2E094" w:rsidR="004124A6" w:rsidRPr="0045377A" w:rsidRDefault="004124A6" w:rsidP="004124A6">
            <w:pPr>
              <w:rPr>
                <w:rFonts w:asciiTheme="majorHAnsi" w:hAnsiTheme="majorHAnsi"/>
              </w:rPr>
            </w:pPr>
            <w:r w:rsidRPr="009B1C59">
              <w:rPr>
                <w:rFonts w:asciiTheme="majorHAnsi" w:hAnsiTheme="majorHAnsi"/>
              </w:rPr>
              <w:t xml:space="preserve">Educators who are under 18 to be supervised </w:t>
            </w:r>
          </w:p>
        </w:tc>
      </w:tr>
      <w:tr w:rsidR="004124A6" w14:paraId="5C2AB462" w14:textId="77777777" w:rsidTr="00DB2519">
        <w:trPr>
          <w:trHeight w:val="422"/>
        </w:trPr>
        <w:tc>
          <w:tcPr>
            <w:tcW w:w="993" w:type="dxa"/>
            <w:shd w:val="clear" w:color="auto" w:fill="F2F2F2" w:themeFill="background1" w:themeFillShade="F2"/>
            <w:vAlign w:val="center"/>
          </w:tcPr>
          <w:p w14:paraId="190FC816" w14:textId="4FFE7C49" w:rsidR="004124A6" w:rsidRPr="0045377A" w:rsidRDefault="004124A6" w:rsidP="004124A6">
            <w:pPr>
              <w:jc w:val="center"/>
              <w:rPr>
                <w:rFonts w:asciiTheme="majorHAnsi" w:hAnsiTheme="majorHAnsi"/>
              </w:rPr>
            </w:pPr>
            <w:r w:rsidRPr="009B1C59">
              <w:rPr>
                <w:rFonts w:asciiTheme="majorHAnsi" w:hAnsiTheme="majorHAnsi"/>
              </w:rPr>
              <w:t>121</w:t>
            </w:r>
          </w:p>
        </w:tc>
        <w:tc>
          <w:tcPr>
            <w:tcW w:w="8079" w:type="dxa"/>
            <w:shd w:val="clear" w:color="auto" w:fill="F2F2F2" w:themeFill="background1" w:themeFillShade="F2"/>
            <w:vAlign w:val="center"/>
          </w:tcPr>
          <w:p w14:paraId="0D7BA9B8" w14:textId="70F2D349" w:rsidR="004124A6" w:rsidRPr="0045377A" w:rsidRDefault="004124A6" w:rsidP="004124A6">
            <w:pPr>
              <w:rPr>
                <w:rFonts w:asciiTheme="majorHAnsi" w:hAnsiTheme="majorHAnsi"/>
              </w:rPr>
            </w:pPr>
            <w:r w:rsidRPr="009B1C59">
              <w:rPr>
                <w:rFonts w:asciiTheme="majorHAnsi" w:hAnsiTheme="majorHAnsi"/>
              </w:rPr>
              <w:t>Application of Division 3</w:t>
            </w:r>
          </w:p>
        </w:tc>
      </w:tr>
      <w:tr w:rsidR="004124A6" w14:paraId="5F4B3B61" w14:textId="77777777" w:rsidTr="00DB2519">
        <w:trPr>
          <w:trHeight w:val="422"/>
        </w:trPr>
        <w:tc>
          <w:tcPr>
            <w:tcW w:w="993" w:type="dxa"/>
            <w:vAlign w:val="center"/>
          </w:tcPr>
          <w:p w14:paraId="14828CE4" w14:textId="2EA07E66" w:rsidR="004124A6" w:rsidRPr="0045377A" w:rsidRDefault="004124A6" w:rsidP="004124A6">
            <w:pPr>
              <w:jc w:val="center"/>
              <w:rPr>
                <w:rFonts w:asciiTheme="majorHAnsi" w:hAnsiTheme="majorHAnsi"/>
              </w:rPr>
            </w:pPr>
            <w:r w:rsidRPr="009B1C59">
              <w:rPr>
                <w:rFonts w:asciiTheme="majorHAnsi" w:hAnsiTheme="majorHAnsi"/>
              </w:rPr>
              <w:t>122</w:t>
            </w:r>
          </w:p>
        </w:tc>
        <w:tc>
          <w:tcPr>
            <w:tcW w:w="8079" w:type="dxa"/>
            <w:vAlign w:val="center"/>
          </w:tcPr>
          <w:p w14:paraId="6F63B608" w14:textId="5E1DD1AA" w:rsidR="004124A6" w:rsidRPr="0045377A" w:rsidRDefault="004124A6" w:rsidP="004124A6">
            <w:pPr>
              <w:rPr>
                <w:rFonts w:asciiTheme="majorHAnsi" w:hAnsiTheme="majorHAnsi"/>
              </w:rPr>
            </w:pPr>
            <w:r w:rsidRPr="009B1C59">
              <w:rPr>
                <w:rFonts w:asciiTheme="majorHAnsi" w:hAnsiTheme="majorHAnsi"/>
              </w:rPr>
              <w:t>Educators must be working directly with children to be included in ratios</w:t>
            </w:r>
          </w:p>
        </w:tc>
      </w:tr>
      <w:tr w:rsidR="004124A6" w14:paraId="2577A86E" w14:textId="77777777" w:rsidTr="00DB2519">
        <w:trPr>
          <w:trHeight w:val="422"/>
        </w:trPr>
        <w:tc>
          <w:tcPr>
            <w:tcW w:w="993" w:type="dxa"/>
            <w:shd w:val="clear" w:color="auto" w:fill="F2F2F2" w:themeFill="background1" w:themeFillShade="F2"/>
            <w:vAlign w:val="center"/>
          </w:tcPr>
          <w:p w14:paraId="65EB403C" w14:textId="390152F4" w:rsidR="004124A6" w:rsidRPr="0045377A" w:rsidRDefault="004124A6" w:rsidP="004124A6">
            <w:pPr>
              <w:jc w:val="center"/>
              <w:rPr>
                <w:rFonts w:asciiTheme="majorHAnsi" w:hAnsiTheme="majorHAnsi"/>
              </w:rPr>
            </w:pPr>
            <w:r w:rsidRPr="009B1C59">
              <w:rPr>
                <w:rFonts w:asciiTheme="majorHAnsi" w:hAnsiTheme="majorHAnsi"/>
              </w:rPr>
              <w:t>123</w:t>
            </w:r>
          </w:p>
        </w:tc>
        <w:tc>
          <w:tcPr>
            <w:tcW w:w="8079" w:type="dxa"/>
            <w:shd w:val="clear" w:color="auto" w:fill="F2F2F2" w:themeFill="background1" w:themeFillShade="F2"/>
            <w:vAlign w:val="center"/>
          </w:tcPr>
          <w:p w14:paraId="0D0C21C1" w14:textId="02D83F93" w:rsidR="004124A6" w:rsidRPr="0045377A" w:rsidRDefault="004124A6" w:rsidP="004124A6">
            <w:pPr>
              <w:rPr>
                <w:rFonts w:asciiTheme="majorHAnsi" w:hAnsiTheme="majorHAnsi"/>
              </w:rPr>
            </w:pPr>
            <w:r w:rsidRPr="009B1C59">
              <w:rPr>
                <w:rFonts w:asciiTheme="majorHAnsi" w:hAnsiTheme="majorHAnsi"/>
              </w:rPr>
              <w:t xml:space="preserve">Educator to child rations-Centre based services </w:t>
            </w:r>
          </w:p>
        </w:tc>
      </w:tr>
      <w:tr w:rsidR="004124A6" w14:paraId="471C85E8" w14:textId="77777777" w:rsidTr="00DB2519">
        <w:trPr>
          <w:trHeight w:val="422"/>
        </w:trPr>
        <w:tc>
          <w:tcPr>
            <w:tcW w:w="993" w:type="dxa"/>
            <w:vAlign w:val="center"/>
          </w:tcPr>
          <w:p w14:paraId="3167C2AA" w14:textId="3D0B9137" w:rsidR="004124A6" w:rsidRPr="0045377A" w:rsidRDefault="004124A6" w:rsidP="004124A6">
            <w:pPr>
              <w:jc w:val="center"/>
              <w:rPr>
                <w:rFonts w:asciiTheme="majorHAnsi" w:hAnsiTheme="majorHAnsi"/>
              </w:rPr>
            </w:pPr>
            <w:r w:rsidRPr="009B1C59">
              <w:rPr>
                <w:rFonts w:asciiTheme="majorHAnsi" w:hAnsiTheme="majorHAnsi"/>
              </w:rPr>
              <w:t>126</w:t>
            </w:r>
          </w:p>
        </w:tc>
        <w:tc>
          <w:tcPr>
            <w:tcW w:w="8079" w:type="dxa"/>
            <w:vAlign w:val="center"/>
          </w:tcPr>
          <w:p w14:paraId="74A3B325" w14:textId="7FCEC844" w:rsidR="004124A6" w:rsidRPr="0045377A" w:rsidRDefault="004124A6" w:rsidP="004124A6">
            <w:pPr>
              <w:rPr>
                <w:rFonts w:asciiTheme="majorHAnsi" w:hAnsiTheme="majorHAnsi"/>
              </w:rPr>
            </w:pPr>
            <w:r w:rsidRPr="009B1C59">
              <w:rPr>
                <w:rFonts w:asciiTheme="majorHAnsi" w:hAnsiTheme="majorHAnsi"/>
              </w:rPr>
              <w:t>Centre based services-general educator qualifications</w:t>
            </w:r>
          </w:p>
        </w:tc>
      </w:tr>
      <w:tr w:rsidR="004124A6" w14:paraId="325F4D09" w14:textId="77777777" w:rsidTr="00DB2519">
        <w:trPr>
          <w:trHeight w:val="422"/>
        </w:trPr>
        <w:tc>
          <w:tcPr>
            <w:tcW w:w="993" w:type="dxa"/>
            <w:shd w:val="clear" w:color="auto" w:fill="F2F2F2" w:themeFill="background1" w:themeFillShade="F2"/>
            <w:vAlign w:val="center"/>
          </w:tcPr>
          <w:p w14:paraId="63E5283E" w14:textId="3AE5CF04" w:rsidR="004124A6" w:rsidRPr="0045377A" w:rsidRDefault="004124A6" w:rsidP="004124A6">
            <w:pPr>
              <w:jc w:val="center"/>
              <w:rPr>
                <w:rFonts w:asciiTheme="majorHAnsi" w:hAnsiTheme="majorHAnsi"/>
              </w:rPr>
            </w:pPr>
            <w:r w:rsidRPr="009B1C59">
              <w:rPr>
                <w:rFonts w:asciiTheme="majorHAnsi" w:hAnsiTheme="majorHAnsi"/>
              </w:rPr>
              <w:t>166</w:t>
            </w:r>
          </w:p>
        </w:tc>
        <w:tc>
          <w:tcPr>
            <w:tcW w:w="8079" w:type="dxa"/>
            <w:shd w:val="clear" w:color="auto" w:fill="F2F2F2" w:themeFill="background1" w:themeFillShade="F2"/>
            <w:vAlign w:val="center"/>
          </w:tcPr>
          <w:p w14:paraId="6945B5E0" w14:textId="1D439F1A" w:rsidR="004124A6" w:rsidRPr="0045377A" w:rsidRDefault="004124A6" w:rsidP="004124A6">
            <w:pPr>
              <w:rPr>
                <w:rFonts w:asciiTheme="majorHAnsi" w:hAnsiTheme="majorHAnsi"/>
              </w:rPr>
            </w:pPr>
            <w:r w:rsidRPr="009B1C59">
              <w:rPr>
                <w:rFonts w:asciiTheme="majorHAnsi" w:hAnsiTheme="majorHAnsi"/>
              </w:rPr>
              <w:t xml:space="preserve">Children not to be alone with visitors </w:t>
            </w:r>
          </w:p>
        </w:tc>
      </w:tr>
      <w:tr w:rsidR="004124A6" w14:paraId="4748C0F2" w14:textId="77777777" w:rsidTr="00DB2519">
        <w:trPr>
          <w:trHeight w:val="422"/>
        </w:trPr>
        <w:tc>
          <w:tcPr>
            <w:tcW w:w="993" w:type="dxa"/>
            <w:vAlign w:val="center"/>
          </w:tcPr>
          <w:p w14:paraId="567A497C" w14:textId="463B6955" w:rsidR="004124A6" w:rsidRPr="0045377A" w:rsidRDefault="004124A6" w:rsidP="004124A6">
            <w:pPr>
              <w:jc w:val="center"/>
              <w:rPr>
                <w:rFonts w:asciiTheme="majorHAnsi" w:hAnsiTheme="majorHAnsi"/>
              </w:rPr>
            </w:pPr>
            <w:r w:rsidRPr="009B1C59">
              <w:rPr>
                <w:rFonts w:asciiTheme="majorHAnsi" w:hAnsiTheme="majorHAnsi"/>
              </w:rPr>
              <w:t>168</w:t>
            </w:r>
          </w:p>
        </w:tc>
        <w:tc>
          <w:tcPr>
            <w:tcW w:w="8079" w:type="dxa"/>
            <w:vAlign w:val="center"/>
          </w:tcPr>
          <w:p w14:paraId="2C620439" w14:textId="7044C741" w:rsidR="004124A6" w:rsidRPr="0045377A" w:rsidRDefault="004124A6" w:rsidP="004124A6">
            <w:pPr>
              <w:rPr>
                <w:rFonts w:asciiTheme="majorHAnsi" w:hAnsiTheme="majorHAnsi"/>
              </w:rPr>
            </w:pPr>
            <w:r w:rsidRPr="009B1C59">
              <w:rPr>
                <w:rFonts w:asciiTheme="majorHAnsi" w:hAnsiTheme="majorHAnsi"/>
              </w:rPr>
              <w:t xml:space="preserve">Education and care service must have policies and procedures </w:t>
            </w:r>
          </w:p>
        </w:tc>
      </w:tr>
      <w:tr w:rsidR="004124A6" w14:paraId="0026EB17" w14:textId="77777777" w:rsidTr="00DB2519">
        <w:trPr>
          <w:trHeight w:val="422"/>
        </w:trPr>
        <w:tc>
          <w:tcPr>
            <w:tcW w:w="993" w:type="dxa"/>
            <w:shd w:val="clear" w:color="auto" w:fill="F2F2F2" w:themeFill="background1" w:themeFillShade="F2"/>
            <w:vAlign w:val="center"/>
          </w:tcPr>
          <w:p w14:paraId="20442677" w14:textId="199CFF9A" w:rsidR="004124A6" w:rsidRPr="0045377A" w:rsidRDefault="004124A6" w:rsidP="004124A6">
            <w:pPr>
              <w:jc w:val="center"/>
              <w:rPr>
                <w:rFonts w:asciiTheme="majorHAnsi" w:hAnsiTheme="majorHAnsi"/>
              </w:rPr>
            </w:pPr>
            <w:r w:rsidRPr="009B1C59">
              <w:rPr>
                <w:rFonts w:asciiTheme="majorHAnsi" w:hAnsiTheme="majorHAnsi"/>
              </w:rPr>
              <w:t>176</w:t>
            </w:r>
          </w:p>
        </w:tc>
        <w:tc>
          <w:tcPr>
            <w:tcW w:w="8079" w:type="dxa"/>
            <w:shd w:val="clear" w:color="auto" w:fill="F2F2F2" w:themeFill="background1" w:themeFillShade="F2"/>
            <w:vAlign w:val="center"/>
          </w:tcPr>
          <w:p w14:paraId="71846BC2" w14:textId="37067B81" w:rsidR="004124A6" w:rsidRPr="0045377A" w:rsidRDefault="004124A6" w:rsidP="004124A6">
            <w:pPr>
              <w:rPr>
                <w:rFonts w:asciiTheme="majorHAnsi" w:hAnsiTheme="majorHAnsi"/>
              </w:rPr>
            </w:pPr>
            <w:r w:rsidRPr="009B1C59">
              <w:rPr>
                <w:rFonts w:asciiTheme="majorHAnsi" w:hAnsiTheme="majorHAnsi"/>
              </w:rPr>
              <w:t xml:space="preserve">Time to notify certain circumstances to Regulatory Authorities </w:t>
            </w:r>
          </w:p>
        </w:tc>
      </w:tr>
      <w:tr w:rsidR="004124A6" w14:paraId="6572BDB3" w14:textId="77777777" w:rsidTr="00DB2519">
        <w:trPr>
          <w:trHeight w:val="422"/>
        </w:trPr>
        <w:tc>
          <w:tcPr>
            <w:tcW w:w="993" w:type="dxa"/>
            <w:vAlign w:val="center"/>
          </w:tcPr>
          <w:p w14:paraId="6A34CA6E" w14:textId="0EBCE56C" w:rsidR="004124A6" w:rsidRPr="0045377A" w:rsidRDefault="004124A6" w:rsidP="004124A6">
            <w:pPr>
              <w:jc w:val="center"/>
              <w:rPr>
                <w:rFonts w:asciiTheme="majorHAnsi" w:hAnsiTheme="majorHAnsi"/>
              </w:rPr>
            </w:pPr>
            <w:r w:rsidRPr="009B1C59">
              <w:rPr>
                <w:rFonts w:asciiTheme="majorHAnsi" w:hAnsiTheme="majorHAnsi"/>
              </w:rPr>
              <w:t>264</w:t>
            </w:r>
          </w:p>
        </w:tc>
        <w:tc>
          <w:tcPr>
            <w:tcW w:w="8079" w:type="dxa"/>
            <w:vAlign w:val="center"/>
          </w:tcPr>
          <w:p w14:paraId="0646CEA8" w14:textId="7FBA26BD" w:rsidR="004124A6" w:rsidRPr="0045377A" w:rsidRDefault="004124A6" w:rsidP="004124A6">
            <w:pPr>
              <w:rPr>
                <w:rFonts w:asciiTheme="majorHAnsi" w:hAnsiTheme="majorHAnsi"/>
              </w:rPr>
            </w:pPr>
            <w:r w:rsidRPr="009B1C59">
              <w:rPr>
                <w:rFonts w:asciiTheme="majorHAnsi" w:hAnsiTheme="majorHAnsi"/>
              </w:rPr>
              <w:t xml:space="preserve">General qualifications for educators – Centre based </w:t>
            </w:r>
          </w:p>
        </w:tc>
      </w:tr>
    </w:tbl>
    <w:p w14:paraId="236D1DF1" w14:textId="77777777" w:rsidR="004124A6" w:rsidRDefault="004124A6" w:rsidP="005D148A">
      <w:pPr>
        <w:spacing w:line="360" w:lineRule="auto"/>
        <w:rPr>
          <w:rFonts w:cs="Arial"/>
          <w:sz w:val="24"/>
          <w:szCs w:val="24"/>
          <w:lang w:val="en-US"/>
        </w:rPr>
      </w:pPr>
    </w:p>
    <w:p w14:paraId="2C227501" w14:textId="77777777" w:rsidR="004124A6" w:rsidRDefault="004124A6" w:rsidP="005D148A">
      <w:pPr>
        <w:spacing w:line="360" w:lineRule="auto"/>
        <w:rPr>
          <w:rFonts w:cs="Arial"/>
          <w:sz w:val="24"/>
          <w:szCs w:val="24"/>
          <w:lang w:val="en-US"/>
        </w:rPr>
      </w:pPr>
    </w:p>
    <w:p w14:paraId="0BD09F73" w14:textId="77777777" w:rsidR="00DB2519" w:rsidRDefault="005D148A" w:rsidP="005D148A">
      <w:pPr>
        <w:spacing w:line="360" w:lineRule="auto"/>
        <w:rPr>
          <w:rFonts w:cs="Arial"/>
          <w:sz w:val="24"/>
          <w:szCs w:val="24"/>
          <w:lang w:val="en-US"/>
        </w:rPr>
      </w:pPr>
      <w:r>
        <w:rPr>
          <w:rFonts w:cs="Arial"/>
          <w:sz w:val="24"/>
          <w:szCs w:val="24"/>
          <w:lang w:val="en-US"/>
        </w:rPr>
        <w:br/>
      </w:r>
    </w:p>
    <w:p w14:paraId="1D593815" w14:textId="3EB39E67" w:rsidR="005D148A" w:rsidRPr="003A2333" w:rsidRDefault="005D148A" w:rsidP="005D148A">
      <w:pPr>
        <w:spacing w:line="360" w:lineRule="auto"/>
        <w:rPr>
          <w:rFonts w:cs="Arial"/>
          <w:sz w:val="24"/>
          <w:szCs w:val="24"/>
          <w:lang w:val="en-US"/>
        </w:rPr>
      </w:pPr>
      <w:bookmarkStart w:id="0" w:name="_GoBack"/>
      <w:bookmarkEnd w:id="0"/>
      <w:r w:rsidRPr="003A2333">
        <w:rPr>
          <w:rFonts w:cs="Arial"/>
          <w:sz w:val="24"/>
          <w:szCs w:val="24"/>
          <w:lang w:val="en-US"/>
        </w:rPr>
        <w:lastRenderedPageBreak/>
        <w:t xml:space="preserve">RELATED POLICIES </w:t>
      </w:r>
    </w:p>
    <w:tbl>
      <w:tblPr>
        <w:tblStyle w:val="TableGrid"/>
        <w:tblW w:w="9180" w:type="dxa"/>
        <w:tblLook w:val="04A0" w:firstRow="1" w:lastRow="0" w:firstColumn="1" w:lastColumn="0" w:noHBand="0" w:noVBand="1"/>
      </w:tblPr>
      <w:tblGrid>
        <w:gridCol w:w="4590"/>
        <w:gridCol w:w="4590"/>
      </w:tblGrid>
      <w:tr w:rsidR="005D148A" w14:paraId="4C82A415" w14:textId="77777777" w:rsidTr="004124A6">
        <w:trPr>
          <w:trHeight w:val="1494"/>
        </w:trPr>
        <w:tc>
          <w:tcPr>
            <w:tcW w:w="4590" w:type="dxa"/>
            <w:vAlign w:val="center"/>
          </w:tcPr>
          <w:p w14:paraId="4314E54C" w14:textId="77777777" w:rsidR="004124A6" w:rsidRPr="009B1C59" w:rsidRDefault="004124A6" w:rsidP="004124A6">
            <w:pPr>
              <w:rPr>
                <w:rFonts w:asciiTheme="majorHAnsi" w:hAnsiTheme="majorHAnsi"/>
                <w:bCs/>
              </w:rPr>
            </w:pPr>
            <w:r w:rsidRPr="009B1C59">
              <w:rPr>
                <w:rFonts w:asciiTheme="majorHAnsi" w:hAnsiTheme="majorHAnsi"/>
              </w:rPr>
              <w:t xml:space="preserve">Arrival and Departure Policy </w:t>
            </w:r>
          </w:p>
          <w:p w14:paraId="13AD720C" w14:textId="77777777" w:rsidR="004124A6" w:rsidRPr="009B1C59" w:rsidRDefault="004124A6" w:rsidP="004124A6">
            <w:pPr>
              <w:rPr>
                <w:rFonts w:asciiTheme="majorHAnsi" w:hAnsiTheme="majorHAnsi"/>
                <w:bCs/>
              </w:rPr>
            </w:pPr>
            <w:r w:rsidRPr="009B1C59">
              <w:rPr>
                <w:rFonts w:asciiTheme="majorHAnsi" w:hAnsiTheme="majorHAnsi"/>
              </w:rPr>
              <w:t xml:space="preserve">Emergency Evacuation Policy </w:t>
            </w:r>
          </w:p>
          <w:p w14:paraId="7FFCFD3D" w14:textId="77777777" w:rsidR="004124A6" w:rsidRPr="009B1C59" w:rsidRDefault="004124A6" w:rsidP="004124A6">
            <w:pPr>
              <w:rPr>
                <w:rFonts w:asciiTheme="majorHAnsi" w:hAnsiTheme="majorHAnsi"/>
                <w:bCs/>
              </w:rPr>
            </w:pPr>
            <w:r w:rsidRPr="009B1C59">
              <w:rPr>
                <w:rFonts w:asciiTheme="majorHAnsi" w:hAnsiTheme="majorHAnsi"/>
              </w:rPr>
              <w:t xml:space="preserve">Code of Conduct Policy </w:t>
            </w:r>
          </w:p>
          <w:p w14:paraId="278C06EC" w14:textId="77777777" w:rsidR="004124A6" w:rsidRPr="009B1C59" w:rsidRDefault="004124A6" w:rsidP="004124A6">
            <w:pPr>
              <w:rPr>
                <w:rFonts w:asciiTheme="majorHAnsi" w:hAnsiTheme="majorHAnsi"/>
                <w:bCs/>
              </w:rPr>
            </w:pPr>
            <w:r w:rsidRPr="009B1C59">
              <w:rPr>
                <w:rFonts w:asciiTheme="majorHAnsi" w:hAnsiTheme="majorHAnsi"/>
              </w:rPr>
              <w:t xml:space="preserve">Nappy Change &amp; Toileting Policy </w:t>
            </w:r>
          </w:p>
          <w:p w14:paraId="16AF103E" w14:textId="1C0A9E8B" w:rsidR="005D148A" w:rsidRPr="00D85812" w:rsidRDefault="004124A6" w:rsidP="00D85812">
            <w:pPr>
              <w:rPr>
                <w:rFonts w:asciiTheme="majorHAnsi" w:hAnsiTheme="majorHAnsi"/>
                <w:bCs/>
              </w:rPr>
            </w:pPr>
            <w:r w:rsidRPr="009B1C59">
              <w:rPr>
                <w:rFonts w:asciiTheme="majorHAnsi" w:hAnsiTheme="majorHAnsi"/>
              </w:rPr>
              <w:t xml:space="preserve">Physical Environment Policy </w:t>
            </w:r>
          </w:p>
        </w:tc>
        <w:tc>
          <w:tcPr>
            <w:tcW w:w="4590" w:type="dxa"/>
            <w:vAlign w:val="center"/>
          </w:tcPr>
          <w:p w14:paraId="7C951E38" w14:textId="77777777" w:rsidR="004124A6" w:rsidRPr="009B1C59" w:rsidRDefault="004124A6" w:rsidP="004124A6">
            <w:pPr>
              <w:rPr>
                <w:rFonts w:asciiTheme="majorHAnsi" w:hAnsiTheme="majorHAnsi"/>
                <w:bCs/>
              </w:rPr>
            </w:pPr>
            <w:r w:rsidRPr="009B1C59">
              <w:rPr>
                <w:rFonts w:asciiTheme="majorHAnsi" w:hAnsiTheme="majorHAnsi"/>
              </w:rPr>
              <w:t xml:space="preserve">Sleeping and Rest Requirement Policy </w:t>
            </w:r>
          </w:p>
          <w:p w14:paraId="7FB547FF" w14:textId="77777777" w:rsidR="004124A6" w:rsidRPr="009B1C59" w:rsidRDefault="004124A6" w:rsidP="004124A6">
            <w:pPr>
              <w:rPr>
                <w:rFonts w:asciiTheme="majorHAnsi" w:hAnsiTheme="majorHAnsi"/>
                <w:bCs/>
              </w:rPr>
            </w:pPr>
            <w:r w:rsidRPr="009B1C59">
              <w:rPr>
                <w:rFonts w:asciiTheme="majorHAnsi" w:hAnsiTheme="majorHAnsi"/>
              </w:rPr>
              <w:t xml:space="preserve">Infant Bottle Safety &amp; Preparation Policy </w:t>
            </w:r>
          </w:p>
          <w:p w14:paraId="6897F300" w14:textId="77777777" w:rsidR="004124A6" w:rsidRPr="009B1C59" w:rsidRDefault="004124A6" w:rsidP="004124A6">
            <w:pPr>
              <w:rPr>
                <w:rFonts w:asciiTheme="majorHAnsi" w:hAnsiTheme="majorHAnsi"/>
                <w:bCs/>
              </w:rPr>
            </w:pPr>
            <w:r w:rsidRPr="009B1C59">
              <w:rPr>
                <w:rFonts w:asciiTheme="majorHAnsi" w:hAnsiTheme="majorHAnsi"/>
              </w:rPr>
              <w:t xml:space="preserve">Incident, Illness, Accident and Trauma Policy </w:t>
            </w:r>
          </w:p>
          <w:p w14:paraId="28524076" w14:textId="77777777" w:rsidR="004124A6" w:rsidRPr="009B1C59" w:rsidRDefault="004124A6" w:rsidP="004124A6">
            <w:pPr>
              <w:rPr>
                <w:rFonts w:asciiTheme="majorHAnsi" w:hAnsiTheme="majorHAnsi"/>
                <w:bCs/>
              </w:rPr>
            </w:pPr>
            <w:r w:rsidRPr="009B1C59">
              <w:rPr>
                <w:rFonts w:asciiTheme="majorHAnsi" w:hAnsiTheme="majorHAnsi"/>
              </w:rPr>
              <w:t xml:space="preserve">Cyber Safety Policy </w:t>
            </w:r>
          </w:p>
          <w:p w14:paraId="09C10251" w14:textId="767FB333" w:rsidR="005D148A" w:rsidRPr="003A2333" w:rsidRDefault="004124A6" w:rsidP="004124A6">
            <w:pPr>
              <w:spacing w:line="276" w:lineRule="auto"/>
              <w:rPr>
                <w:rFonts w:asciiTheme="majorHAnsi" w:hAnsiTheme="majorHAnsi"/>
                <w:b/>
                <w:bCs/>
              </w:rPr>
            </w:pPr>
            <w:r w:rsidRPr="009B1C59">
              <w:rPr>
                <w:rFonts w:asciiTheme="majorHAnsi" w:hAnsiTheme="majorHAnsi"/>
              </w:rPr>
              <w:t>Administration of Medication Policy</w:t>
            </w:r>
          </w:p>
        </w:tc>
      </w:tr>
    </w:tbl>
    <w:p w14:paraId="6DFE5ABC" w14:textId="77777777" w:rsidR="00380118" w:rsidRDefault="00380118" w:rsidP="00B35707">
      <w:pPr>
        <w:spacing w:line="360" w:lineRule="auto"/>
        <w:rPr>
          <w:rFonts w:cs="Arial"/>
          <w:sz w:val="24"/>
          <w:szCs w:val="24"/>
        </w:rPr>
      </w:pPr>
    </w:p>
    <w:p w14:paraId="69EED422" w14:textId="77777777" w:rsidR="00B35707" w:rsidRDefault="005D148A" w:rsidP="00B35707">
      <w:pPr>
        <w:spacing w:line="360" w:lineRule="auto"/>
        <w:rPr>
          <w:rFonts w:asciiTheme="majorHAnsi" w:hAnsiTheme="majorHAnsi" w:cs="Arial"/>
        </w:rPr>
      </w:pPr>
      <w:r w:rsidRPr="009F124F">
        <w:rPr>
          <w:rFonts w:cs="Arial"/>
          <w:sz w:val="24"/>
          <w:szCs w:val="24"/>
        </w:rPr>
        <w:t>PURPOSE</w:t>
      </w:r>
    </w:p>
    <w:p w14:paraId="21BAFEA1" w14:textId="77777777" w:rsidR="004124A6" w:rsidRPr="009B1C59" w:rsidRDefault="004124A6" w:rsidP="004124A6">
      <w:pPr>
        <w:spacing w:line="360" w:lineRule="auto"/>
        <w:rPr>
          <w:rFonts w:asciiTheme="majorHAnsi" w:hAnsiTheme="majorHAnsi"/>
        </w:rPr>
      </w:pPr>
      <w:r w:rsidRPr="009B1C59">
        <w:rPr>
          <w:rFonts w:asciiTheme="majorHAnsi" w:hAnsiTheme="majorHAnsi"/>
        </w:rPr>
        <w:t>Educators have a duty of care to ensure children are supervised at all times, maintain</w:t>
      </w:r>
      <w:r>
        <w:rPr>
          <w:rFonts w:asciiTheme="majorHAnsi" w:hAnsiTheme="majorHAnsi"/>
        </w:rPr>
        <w:t>ing</w:t>
      </w:r>
      <w:r w:rsidRPr="009B1C59">
        <w:rPr>
          <w:rFonts w:asciiTheme="majorHAnsi" w:hAnsiTheme="majorHAnsi"/>
        </w:rPr>
        <w:t xml:space="preserve"> a safe and secure environment adhering to National Regulations. Supervision, together with thoughtful design and arrangement of children’s environments, assists in the prevention and severity of injury to children. </w:t>
      </w:r>
    </w:p>
    <w:p w14:paraId="1DC71CF7" w14:textId="77777777" w:rsidR="004124A6" w:rsidRPr="009B1C59" w:rsidRDefault="004124A6" w:rsidP="004124A6">
      <w:pPr>
        <w:spacing w:line="360" w:lineRule="auto"/>
        <w:rPr>
          <w:rFonts w:asciiTheme="majorHAnsi" w:hAnsiTheme="majorHAnsi"/>
        </w:rPr>
      </w:pPr>
      <w:r w:rsidRPr="009B1C59">
        <w:rPr>
          <w:rFonts w:asciiTheme="majorHAnsi" w:hAnsiTheme="majorHAnsi"/>
        </w:rPr>
        <w:t xml:space="preserve">Educators will actively supervise children, identifying risks and </w:t>
      </w:r>
      <w:r>
        <w:rPr>
          <w:rFonts w:asciiTheme="majorHAnsi" w:hAnsiTheme="majorHAnsi"/>
        </w:rPr>
        <w:t xml:space="preserve">taking all necessary steps to prevent or </w:t>
      </w:r>
      <w:r w:rsidRPr="009B1C59">
        <w:rPr>
          <w:rFonts w:asciiTheme="majorHAnsi" w:hAnsiTheme="majorHAnsi"/>
        </w:rPr>
        <w:t>minimis</w:t>
      </w:r>
      <w:r>
        <w:rPr>
          <w:rFonts w:asciiTheme="majorHAnsi" w:hAnsiTheme="majorHAnsi"/>
        </w:rPr>
        <w:t>e</w:t>
      </w:r>
      <w:r w:rsidRPr="009B1C59">
        <w:rPr>
          <w:rFonts w:asciiTheme="majorHAnsi" w:hAnsiTheme="majorHAnsi"/>
        </w:rPr>
        <w:t xml:space="preserve"> injury. Effective supervision of children </w:t>
      </w:r>
      <w:r>
        <w:rPr>
          <w:rFonts w:asciiTheme="majorHAnsi" w:hAnsiTheme="majorHAnsi"/>
        </w:rPr>
        <w:t xml:space="preserve">also </w:t>
      </w:r>
      <w:r w:rsidRPr="009B1C59">
        <w:rPr>
          <w:rFonts w:asciiTheme="majorHAnsi" w:hAnsiTheme="majorHAnsi"/>
        </w:rPr>
        <w:t xml:space="preserve">provides Educators with the opportunity to support and build on children’s play experiences.  </w:t>
      </w:r>
    </w:p>
    <w:p w14:paraId="350E1C4E" w14:textId="77777777" w:rsidR="005D148A" w:rsidRDefault="005D148A" w:rsidP="005D148A">
      <w:pPr>
        <w:spacing w:after="0" w:line="360" w:lineRule="auto"/>
        <w:rPr>
          <w:rFonts w:asciiTheme="majorHAnsi" w:hAnsiTheme="majorHAnsi" w:cs="Arial"/>
          <w:szCs w:val="18"/>
          <w:lang w:eastAsia="en-AU"/>
        </w:rPr>
      </w:pPr>
    </w:p>
    <w:p w14:paraId="7960BCB1" w14:textId="77777777" w:rsidR="005D148A" w:rsidRDefault="005D148A" w:rsidP="005D148A">
      <w:pPr>
        <w:spacing w:line="360" w:lineRule="auto"/>
        <w:rPr>
          <w:rFonts w:asciiTheme="majorHAnsi" w:hAnsiTheme="majorHAnsi" w:cs="Arial"/>
        </w:rPr>
      </w:pPr>
      <w:r>
        <w:rPr>
          <w:rFonts w:cs="Arial"/>
          <w:sz w:val="24"/>
          <w:szCs w:val="24"/>
        </w:rPr>
        <w:t>SCOPE</w:t>
      </w:r>
    </w:p>
    <w:p w14:paraId="229CD670" w14:textId="77777777" w:rsidR="004124A6" w:rsidRPr="009B1C59" w:rsidRDefault="004124A6" w:rsidP="004124A6">
      <w:pPr>
        <w:rPr>
          <w:rFonts w:asciiTheme="majorHAnsi" w:hAnsiTheme="majorHAnsi"/>
        </w:rPr>
      </w:pPr>
      <w:r w:rsidRPr="009B1C59">
        <w:rPr>
          <w:rFonts w:asciiTheme="majorHAnsi" w:hAnsiTheme="majorHAnsi"/>
        </w:rPr>
        <w:t xml:space="preserve">This policy applies to </w:t>
      </w:r>
      <w:r>
        <w:rPr>
          <w:rFonts w:asciiTheme="majorHAnsi" w:hAnsiTheme="majorHAnsi"/>
        </w:rPr>
        <w:t>Management and Educators</w:t>
      </w:r>
      <w:r w:rsidRPr="009B1C59">
        <w:rPr>
          <w:rFonts w:asciiTheme="majorHAnsi" w:hAnsiTheme="majorHAnsi"/>
        </w:rPr>
        <w:t xml:space="preserve"> of the Service.</w:t>
      </w:r>
    </w:p>
    <w:p w14:paraId="4FC3CBC5" w14:textId="77777777" w:rsidR="005D148A" w:rsidRPr="00C3140F" w:rsidRDefault="005D148A" w:rsidP="005D148A">
      <w:pPr>
        <w:spacing w:after="0" w:line="360" w:lineRule="auto"/>
        <w:rPr>
          <w:rFonts w:asciiTheme="majorHAnsi" w:hAnsiTheme="majorHAnsi"/>
        </w:rPr>
      </w:pPr>
    </w:p>
    <w:p w14:paraId="256D13FE" w14:textId="77777777" w:rsidR="005D148A" w:rsidRDefault="005D148A" w:rsidP="005D148A">
      <w:pPr>
        <w:spacing w:line="360" w:lineRule="auto"/>
        <w:rPr>
          <w:rFonts w:asciiTheme="majorHAnsi" w:hAnsiTheme="majorHAnsi" w:cs="Arial"/>
        </w:rPr>
      </w:pPr>
      <w:r>
        <w:rPr>
          <w:rFonts w:cs="Arial"/>
          <w:sz w:val="24"/>
          <w:szCs w:val="24"/>
        </w:rPr>
        <w:t>IMPLEMENTATION</w:t>
      </w:r>
    </w:p>
    <w:p w14:paraId="50786BB6" w14:textId="40E340D2" w:rsidR="00B35707" w:rsidRPr="00B35707" w:rsidRDefault="004124A6" w:rsidP="00B35707">
      <w:pPr>
        <w:spacing w:after="0" w:line="360" w:lineRule="auto"/>
        <w:rPr>
          <w:color w:val="34ABC1"/>
          <w:sz w:val="24"/>
        </w:rPr>
      </w:pPr>
      <w:r>
        <w:rPr>
          <w:color w:val="34ABC1"/>
          <w:sz w:val="24"/>
        </w:rPr>
        <w:t>Management will ensure</w:t>
      </w:r>
    </w:p>
    <w:p w14:paraId="31036F16" w14:textId="6D4EF5D7" w:rsidR="004124A6" w:rsidRPr="00380118" w:rsidRDefault="004124A6" w:rsidP="00380118">
      <w:pPr>
        <w:pStyle w:val="ListParagraph"/>
        <w:numPr>
          <w:ilvl w:val="0"/>
          <w:numId w:val="7"/>
        </w:numPr>
        <w:spacing w:after="200" w:line="360" w:lineRule="auto"/>
        <w:ind w:left="360"/>
        <w:rPr>
          <w:rFonts w:asciiTheme="majorHAnsi" w:hAnsiTheme="majorHAnsi"/>
        </w:rPr>
      </w:pPr>
      <w:r w:rsidRPr="009B1C59">
        <w:rPr>
          <w:rFonts w:asciiTheme="majorHAnsi" w:hAnsiTheme="majorHAnsi"/>
        </w:rPr>
        <w:t xml:space="preserve">That the premises and facilities are designed and maintained to facilitate supervision of children at all times while maintaining the rights and dignity of all children. </w:t>
      </w:r>
    </w:p>
    <w:p w14:paraId="6BC96F76" w14:textId="77777777" w:rsidR="004124A6" w:rsidRPr="009B1C59" w:rsidRDefault="004124A6" w:rsidP="00380118">
      <w:pPr>
        <w:pStyle w:val="ListParagraph"/>
        <w:numPr>
          <w:ilvl w:val="0"/>
          <w:numId w:val="6"/>
        </w:numPr>
        <w:spacing w:line="360" w:lineRule="auto"/>
        <w:ind w:left="360"/>
        <w:rPr>
          <w:rFonts w:asciiTheme="majorHAnsi" w:hAnsiTheme="majorHAnsi"/>
        </w:rPr>
      </w:pPr>
      <w:r w:rsidRPr="009B1C59">
        <w:rPr>
          <w:rFonts w:asciiTheme="majorHAnsi" w:hAnsiTheme="majorHAnsi"/>
        </w:rPr>
        <w:t xml:space="preserve">Regulatory Authorities are notified of any serious incident within 24hours of the incident or the time that the person becomes aware of the incident. </w:t>
      </w:r>
    </w:p>
    <w:p w14:paraId="29C60538" w14:textId="77777777" w:rsidR="004124A6" w:rsidRPr="009B1C59" w:rsidRDefault="004124A6" w:rsidP="00380118">
      <w:pPr>
        <w:numPr>
          <w:ilvl w:val="0"/>
          <w:numId w:val="6"/>
        </w:numPr>
        <w:spacing w:after="200" w:line="360" w:lineRule="auto"/>
        <w:ind w:left="360"/>
        <w:rPr>
          <w:rFonts w:asciiTheme="majorHAnsi" w:hAnsiTheme="majorHAnsi"/>
        </w:rPr>
      </w:pPr>
      <w:r w:rsidRPr="009B1C59">
        <w:rPr>
          <w:rFonts w:asciiTheme="majorHAnsi" w:hAnsiTheme="majorHAnsi"/>
        </w:rPr>
        <w:t xml:space="preserve">Educators under eighteen years of age may work at a Centre-based Service </w:t>
      </w:r>
      <w:r>
        <w:rPr>
          <w:rFonts w:asciiTheme="majorHAnsi" w:hAnsiTheme="majorHAnsi"/>
        </w:rPr>
        <w:t>only if</w:t>
      </w:r>
      <w:r w:rsidRPr="009B1C59">
        <w:rPr>
          <w:rFonts w:asciiTheme="majorHAnsi" w:hAnsiTheme="majorHAnsi"/>
        </w:rPr>
        <w:t xml:space="preserve"> they are adequately supervised by an educator over the age of 18 at all times and are not left alone. </w:t>
      </w:r>
    </w:p>
    <w:p w14:paraId="75CE9878" w14:textId="77777777" w:rsidR="00380118" w:rsidRDefault="004124A6" w:rsidP="004124A6">
      <w:pPr>
        <w:numPr>
          <w:ilvl w:val="0"/>
          <w:numId w:val="6"/>
        </w:numPr>
        <w:spacing w:after="200" w:line="360" w:lineRule="auto"/>
        <w:ind w:left="360"/>
        <w:rPr>
          <w:rFonts w:asciiTheme="majorHAnsi" w:hAnsiTheme="majorHAnsi"/>
        </w:rPr>
      </w:pPr>
      <w:r w:rsidRPr="009B1C59">
        <w:rPr>
          <w:rFonts w:asciiTheme="majorHAnsi" w:hAnsiTheme="majorHAnsi"/>
        </w:rPr>
        <w:t xml:space="preserve">Minimum Educator qualification requirements are recognised </w:t>
      </w:r>
      <w:r>
        <w:rPr>
          <w:rFonts w:asciiTheme="majorHAnsi" w:hAnsiTheme="majorHAnsi"/>
        </w:rPr>
        <w:t xml:space="preserve">and adhered to according to legislative requirements. </w:t>
      </w:r>
      <w:r w:rsidRPr="009B1C59">
        <w:rPr>
          <w:rFonts w:asciiTheme="majorHAnsi" w:hAnsiTheme="majorHAnsi"/>
        </w:rPr>
        <w:t xml:space="preserve"> </w:t>
      </w:r>
    </w:p>
    <w:p w14:paraId="03CD1576" w14:textId="7B97B0CD" w:rsidR="004124A6" w:rsidRPr="00380118" w:rsidRDefault="004124A6" w:rsidP="004124A6">
      <w:pPr>
        <w:numPr>
          <w:ilvl w:val="0"/>
          <w:numId w:val="6"/>
        </w:numPr>
        <w:spacing w:after="200" w:line="360" w:lineRule="auto"/>
        <w:ind w:left="360"/>
        <w:rPr>
          <w:rFonts w:asciiTheme="majorHAnsi" w:hAnsiTheme="majorHAnsi"/>
        </w:rPr>
      </w:pPr>
      <w:r w:rsidRPr="00380118">
        <w:rPr>
          <w:rFonts w:asciiTheme="majorHAnsi" w:hAnsiTheme="majorHAnsi"/>
        </w:rPr>
        <w:t>The Service maintains the required educator-to-child ratio working directly with children at all times, based on the ages and number of children being educated and cared for at the Service.</w:t>
      </w:r>
    </w:p>
    <w:tbl>
      <w:tblPr>
        <w:tblStyle w:val="TableGrid"/>
        <w:tblW w:w="9180" w:type="dxa"/>
        <w:tblLook w:val="04A0" w:firstRow="1" w:lastRow="0" w:firstColumn="1" w:lastColumn="0" w:noHBand="0" w:noVBand="1"/>
      </w:tblPr>
      <w:tblGrid>
        <w:gridCol w:w="6062"/>
        <w:gridCol w:w="3118"/>
      </w:tblGrid>
      <w:tr w:rsidR="004124A6" w:rsidRPr="00151775" w14:paraId="0444FA87" w14:textId="77777777" w:rsidTr="004124A6">
        <w:trPr>
          <w:trHeight w:val="528"/>
        </w:trPr>
        <w:tc>
          <w:tcPr>
            <w:tcW w:w="6062" w:type="dxa"/>
            <w:shd w:val="clear" w:color="auto" w:fill="D9D9D9" w:themeFill="background1" w:themeFillShade="D9"/>
            <w:vAlign w:val="center"/>
          </w:tcPr>
          <w:p w14:paraId="04365253" w14:textId="4867C223" w:rsidR="004124A6" w:rsidRPr="00151775" w:rsidRDefault="004124A6" w:rsidP="004124A6">
            <w:pPr>
              <w:ind w:hanging="27"/>
              <w:rPr>
                <w:rFonts w:ascii="Calibri Light" w:hAnsi="Calibri Light"/>
                <w:color w:val="000000" w:themeColor="text1"/>
                <w:sz w:val="24"/>
              </w:rPr>
            </w:pPr>
            <w:r>
              <w:rPr>
                <w:rFonts w:ascii="Calibri Light" w:hAnsi="Calibri Light"/>
                <w:color w:val="000000" w:themeColor="text1"/>
                <w:sz w:val="24"/>
                <w:szCs w:val="24"/>
                <w:lang w:val="en-US"/>
              </w:rPr>
              <w:lastRenderedPageBreak/>
              <w:t>AGE GROUP</w:t>
            </w:r>
            <w:r w:rsidRPr="00344B89">
              <w:rPr>
                <w:rFonts w:ascii="Calibri Light" w:hAnsi="Calibri Light"/>
                <w:color w:val="000000" w:themeColor="text1"/>
                <w:sz w:val="24"/>
                <w:szCs w:val="24"/>
                <w:lang w:val="en-US"/>
              </w:rPr>
              <w:t xml:space="preserve"> </w:t>
            </w:r>
          </w:p>
        </w:tc>
        <w:tc>
          <w:tcPr>
            <w:tcW w:w="3118" w:type="dxa"/>
            <w:shd w:val="clear" w:color="auto" w:fill="D9D9D9" w:themeFill="background1" w:themeFillShade="D9"/>
            <w:vAlign w:val="center"/>
          </w:tcPr>
          <w:p w14:paraId="6DBCEFB6" w14:textId="4F8F824B" w:rsidR="004124A6" w:rsidRPr="00151775" w:rsidRDefault="004124A6" w:rsidP="004124A6">
            <w:pPr>
              <w:ind w:hanging="27"/>
              <w:rPr>
                <w:rFonts w:ascii="Calibri Light" w:hAnsi="Calibri Light"/>
                <w:color w:val="000000" w:themeColor="text1"/>
                <w:sz w:val="24"/>
              </w:rPr>
            </w:pPr>
            <w:r>
              <w:rPr>
                <w:rFonts w:ascii="Calibri Light" w:hAnsi="Calibri Light"/>
                <w:color w:val="000000" w:themeColor="text1"/>
                <w:sz w:val="24"/>
              </w:rPr>
              <w:t>EDUCATOR TO CHILD RATIO</w:t>
            </w:r>
          </w:p>
        </w:tc>
      </w:tr>
      <w:tr w:rsidR="004124A6" w14:paraId="526006DD" w14:textId="77777777" w:rsidTr="004124A6">
        <w:trPr>
          <w:trHeight w:val="422"/>
        </w:trPr>
        <w:tc>
          <w:tcPr>
            <w:tcW w:w="6062" w:type="dxa"/>
            <w:vAlign w:val="center"/>
          </w:tcPr>
          <w:p w14:paraId="654BC59D" w14:textId="4AE6D9F9" w:rsidR="004124A6" w:rsidRPr="003A2333" w:rsidRDefault="004124A6" w:rsidP="004124A6">
            <w:pPr>
              <w:rPr>
                <w:rFonts w:asciiTheme="majorHAnsi" w:hAnsiTheme="majorHAnsi"/>
              </w:rPr>
            </w:pPr>
            <w:r w:rsidRPr="009B1C59">
              <w:rPr>
                <w:rFonts w:asciiTheme="majorHAnsi" w:hAnsiTheme="majorHAnsi"/>
              </w:rPr>
              <w:t>For children from Birth to 24 months of age</w:t>
            </w:r>
          </w:p>
        </w:tc>
        <w:tc>
          <w:tcPr>
            <w:tcW w:w="3118" w:type="dxa"/>
            <w:vAlign w:val="center"/>
          </w:tcPr>
          <w:p w14:paraId="26E8F732" w14:textId="123F6114" w:rsidR="004124A6" w:rsidRPr="003A2333" w:rsidRDefault="004124A6" w:rsidP="004124A6">
            <w:pPr>
              <w:jc w:val="center"/>
              <w:rPr>
                <w:rFonts w:asciiTheme="majorHAnsi" w:hAnsiTheme="majorHAnsi"/>
              </w:rPr>
            </w:pPr>
            <w:r w:rsidRPr="009B1C59">
              <w:rPr>
                <w:rFonts w:asciiTheme="majorHAnsi" w:hAnsiTheme="majorHAnsi"/>
              </w:rPr>
              <w:t>1:4</w:t>
            </w:r>
          </w:p>
        </w:tc>
      </w:tr>
      <w:tr w:rsidR="004124A6" w14:paraId="206EA1C6" w14:textId="77777777" w:rsidTr="004124A6">
        <w:trPr>
          <w:trHeight w:val="422"/>
        </w:trPr>
        <w:tc>
          <w:tcPr>
            <w:tcW w:w="6062" w:type="dxa"/>
            <w:shd w:val="clear" w:color="auto" w:fill="F2F2F2" w:themeFill="background1" w:themeFillShade="F2"/>
            <w:vAlign w:val="center"/>
          </w:tcPr>
          <w:p w14:paraId="48F433FC" w14:textId="43584A4C" w:rsidR="004124A6" w:rsidRPr="00F2574B" w:rsidRDefault="004124A6" w:rsidP="004124A6">
            <w:pPr>
              <w:rPr>
                <w:rFonts w:asciiTheme="majorHAnsi" w:hAnsiTheme="majorHAnsi" w:cs="Calibri"/>
              </w:rPr>
            </w:pPr>
            <w:r w:rsidRPr="009B1C59">
              <w:rPr>
                <w:rFonts w:asciiTheme="majorHAnsi" w:hAnsiTheme="majorHAnsi"/>
              </w:rPr>
              <w:t>For children aged 24 months and less than 36 months of age</w:t>
            </w:r>
          </w:p>
        </w:tc>
        <w:tc>
          <w:tcPr>
            <w:tcW w:w="3118" w:type="dxa"/>
            <w:shd w:val="clear" w:color="auto" w:fill="F2F2F2" w:themeFill="background1" w:themeFillShade="F2"/>
            <w:vAlign w:val="center"/>
          </w:tcPr>
          <w:p w14:paraId="5B7B335F" w14:textId="503658BA" w:rsidR="004124A6" w:rsidRPr="00F2574B" w:rsidRDefault="004124A6" w:rsidP="004124A6">
            <w:pPr>
              <w:jc w:val="center"/>
              <w:rPr>
                <w:rFonts w:asciiTheme="majorHAnsi" w:hAnsiTheme="majorHAnsi" w:cs="Calibri"/>
              </w:rPr>
            </w:pPr>
            <w:r w:rsidRPr="009B1C59">
              <w:rPr>
                <w:rFonts w:asciiTheme="majorHAnsi" w:hAnsiTheme="majorHAnsi"/>
              </w:rPr>
              <w:t>1:5</w:t>
            </w:r>
          </w:p>
        </w:tc>
      </w:tr>
      <w:tr w:rsidR="004124A6" w14:paraId="0F091A53" w14:textId="77777777" w:rsidTr="004124A6">
        <w:trPr>
          <w:trHeight w:val="422"/>
        </w:trPr>
        <w:tc>
          <w:tcPr>
            <w:tcW w:w="6062" w:type="dxa"/>
            <w:vAlign w:val="center"/>
          </w:tcPr>
          <w:p w14:paraId="4F40EFBC" w14:textId="4537A3DF" w:rsidR="004124A6" w:rsidRPr="0045377A" w:rsidRDefault="004124A6" w:rsidP="004124A6">
            <w:pPr>
              <w:rPr>
                <w:rFonts w:asciiTheme="majorHAnsi" w:hAnsiTheme="majorHAnsi"/>
              </w:rPr>
            </w:pPr>
            <w:r w:rsidRPr="009B1C59">
              <w:rPr>
                <w:rFonts w:asciiTheme="majorHAnsi" w:hAnsiTheme="majorHAnsi"/>
              </w:rPr>
              <w:t xml:space="preserve">For children aged 36 months of age or over </w:t>
            </w:r>
          </w:p>
        </w:tc>
        <w:tc>
          <w:tcPr>
            <w:tcW w:w="3118" w:type="dxa"/>
            <w:vAlign w:val="center"/>
          </w:tcPr>
          <w:p w14:paraId="0939F217" w14:textId="5F45CC75" w:rsidR="004124A6" w:rsidRPr="0045377A" w:rsidRDefault="004124A6" w:rsidP="004124A6">
            <w:pPr>
              <w:jc w:val="center"/>
              <w:rPr>
                <w:rFonts w:asciiTheme="majorHAnsi" w:hAnsiTheme="majorHAnsi"/>
              </w:rPr>
            </w:pPr>
            <w:r w:rsidRPr="009B1C59">
              <w:rPr>
                <w:rFonts w:asciiTheme="majorHAnsi" w:hAnsiTheme="majorHAnsi"/>
              </w:rPr>
              <w:t>1:10</w:t>
            </w:r>
          </w:p>
        </w:tc>
      </w:tr>
    </w:tbl>
    <w:p w14:paraId="40BF13A4" w14:textId="38DB75FB" w:rsidR="004124A6" w:rsidRPr="004124A6" w:rsidRDefault="004124A6" w:rsidP="004124A6">
      <w:pPr>
        <w:pStyle w:val="ListParagraph"/>
        <w:spacing w:line="240" w:lineRule="auto"/>
        <w:ind w:left="0"/>
        <w:rPr>
          <w:rFonts w:asciiTheme="majorHAnsi" w:hAnsiTheme="majorHAnsi"/>
          <w:u w:val="single"/>
        </w:rPr>
      </w:pPr>
      <w:r>
        <w:rPr>
          <w:rFonts w:asciiTheme="majorHAnsi" w:hAnsiTheme="majorHAnsi" w:cs="Calibri"/>
        </w:rPr>
        <w:br/>
      </w:r>
      <w:r w:rsidRPr="004124A6">
        <w:rPr>
          <w:rFonts w:asciiTheme="majorHAnsi" w:hAnsiTheme="majorHAnsi"/>
        </w:rPr>
        <w:t xml:space="preserve">The above table contains educator to child ratio requirements for Centre based services in </w:t>
      </w:r>
      <w:r w:rsidRPr="004124A6">
        <w:rPr>
          <w:rFonts w:asciiTheme="majorHAnsi" w:hAnsiTheme="majorHAnsi"/>
          <w:u w:val="single"/>
        </w:rPr>
        <w:t>NSW</w:t>
      </w:r>
    </w:p>
    <w:p w14:paraId="7668FC35" w14:textId="4AFE7740" w:rsidR="004124A6" w:rsidRPr="004124A6" w:rsidRDefault="004124A6" w:rsidP="004124A6">
      <w:pPr>
        <w:spacing w:line="240" w:lineRule="auto"/>
        <w:rPr>
          <w:rFonts w:asciiTheme="majorHAnsi" w:hAnsiTheme="majorHAnsi"/>
          <w:i/>
          <w:sz w:val="18"/>
          <w:szCs w:val="18"/>
        </w:rPr>
      </w:pPr>
      <w:r w:rsidRPr="004124A6">
        <w:rPr>
          <w:rFonts w:asciiTheme="majorHAnsi" w:hAnsiTheme="majorHAnsi"/>
          <w:i/>
          <w:sz w:val="18"/>
          <w:szCs w:val="18"/>
        </w:rPr>
        <w:t>For ratio requirements in all states see the Information Sheet provided by ACECQA - http://www.acecqa.gov.au/Improved-educator-to-child-ratios</w:t>
      </w:r>
      <w:r>
        <w:rPr>
          <w:rFonts w:asciiTheme="majorHAnsi" w:hAnsiTheme="majorHAnsi"/>
          <w:i/>
          <w:sz w:val="18"/>
          <w:szCs w:val="18"/>
        </w:rPr>
        <w:br/>
      </w:r>
    </w:p>
    <w:p w14:paraId="34A06D6C" w14:textId="6873ADB2" w:rsidR="004124A6" w:rsidRDefault="004124A6" w:rsidP="004124A6">
      <w:pPr>
        <w:spacing w:after="200" w:line="360" w:lineRule="auto"/>
        <w:rPr>
          <w:rFonts w:asciiTheme="majorHAnsi" w:hAnsiTheme="majorHAnsi" w:cs="Calibri"/>
        </w:rPr>
      </w:pPr>
      <w:r>
        <w:rPr>
          <w:color w:val="34ABC1"/>
          <w:sz w:val="24"/>
        </w:rPr>
        <w:t>Management and/or the Nominated Supervisor will</w:t>
      </w:r>
    </w:p>
    <w:p w14:paraId="2EF869CF" w14:textId="2115E650" w:rsidR="004124A6" w:rsidRPr="009B1C59" w:rsidRDefault="004124A6" w:rsidP="000A455D">
      <w:pPr>
        <w:pStyle w:val="ListParagraph"/>
        <w:numPr>
          <w:ilvl w:val="0"/>
          <w:numId w:val="3"/>
        </w:numPr>
        <w:spacing w:after="0" w:line="360" w:lineRule="auto"/>
        <w:ind w:left="357" w:hanging="357"/>
        <w:rPr>
          <w:rFonts w:asciiTheme="majorHAnsi" w:hAnsiTheme="majorHAnsi"/>
        </w:rPr>
      </w:pPr>
      <w:r w:rsidRPr="009B1C59">
        <w:rPr>
          <w:rFonts w:asciiTheme="majorHAnsi" w:hAnsiTheme="majorHAnsi"/>
        </w:rPr>
        <w:t xml:space="preserve">Ensure that all Educators are aware of </w:t>
      </w:r>
      <w:r>
        <w:rPr>
          <w:rFonts w:asciiTheme="majorHAnsi" w:hAnsiTheme="majorHAnsi"/>
        </w:rPr>
        <w:t xml:space="preserve">all </w:t>
      </w:r>
      <w:r w:rsidRPr="009B1C59">
        <w:rPr>
          <w:rFonts w:asciiTheme="majorHAnsi" w:hAnsiTheme="majorHAnsi"/>
        </w:rPr>
        <w:t>children and their environment.</w:t>
      </w:r>
    </w:p>
    <w:p w14:paraId="0AFFFFFF" w14:textId="77777777" w:rsidR="004124A6" w:rsidRPr="009B1C59" w:rsidRDefault="004124A6" w:rsidP="000A455D">
      <w:pPr>
        <w:pStyle w:val="ListParagraph"/>
        <w:numPr>
          <w:ilvl w:val="0"/>
          <w:numId w:val="3"/>
        </w:numPr>
        <w:spacing w:after="0" w:line="360" w:lineRule="auto"/>
        <w:ind w:left="357" w:hanging="357"/>
        <w:rPr>
          <w:rFonts w:asciiTheme="majorHAnsi" w:hAnsiTheme="majorHAnsi"/>
        </w:rPr>
      </w:pPr>
      <w:r w:rsidRPr="009B1C59">
        <w:rPr>
          <w:rFonts w:asciiTheme="majorHAnsi" w:hAnsiTheme="majorHAnsi"/>
        </w:rPr>
        <w:t>Ensure Educators avoid activities or actions that will distract them from supervision, such as speaking to other Educators for long periods of time, taking personal phone calls, checking mobile phone</w:t>
      </w:r>
      <w:r>
        <w:rPr>
          <w:rFonts w:asciiTheme="majorHAnsi" w:hAnsiTheme="majorHAnsi"/>
        </w:rPr>
        <w:t>s</w:t>
      </w:r>
      <w:r w:rsidRPr="009B1C59">
        <w:rPr>
          <w:rFonts w:asciiTheme="majorHAnsi" w:hAnsiTheme="majorHAnsi"/>
        </w:rPr>
        <w:t xml:space="preserve"> or administrative tasks. </w:t>
      </w:r>
    </w:p>
    <w:p w14:paraId="1A0C8C4A" w14:textId="77777777" w:rsidR="004124A6" w:rsidRPr="009B1C59" w:rsidRDefault="004124A6" w:rsidP="000A455D">
      <w:pPr>
        <w:pStyle w:val="ListParagraph"/>
        <w:numPr>
          <w:ilvl w:val="0"/>
          <w:numId w:val="3"/>
        </w:numPr>
        <w:spacing w:after="0" w:line="360" w:lineRule="auto"/>
        <w:ind w:left="357" w:hanging="357"/>
        <w:rPr>
          <w:rFonts w:asciiTheme="majorHAnsi" w:hAnsiTheme="majorHAnsi"/>
        </w:rPr>
      </w:pPr>
      <w:r w:rsidRPr="009B1C59">
        <w:rPr>
          <w:rFonts w:asciiTheme="majorHAnsi" w:hAnsiTheme="majorHAnsi"/>
        </w:rPr>
        <w:t>Ensure Educators are aware if they need to move away</w:t>
      </w:r>
      <w:r>
        <w:rPr>
          <w:rFonts w:asciiTheme="majorHAnsi" w:hAnsiTheme="majorHAnsi"/>
        </w:rPr>
        <w:t xml:space="preserve"> from the children</w:t>
      </w:r>
      <w:r w:rsidRPr="009B1C59">
        <w:rPr>
          <w:rFonts w:asciiTheme="majorHAnsi" w:hAnsiTheme="majorHAnsi"/>
        </w:rPr>
        <w:t xml:space="preserve">, another Educator is to replace them. </w:t>
      </w:r>
    </w:p>
    <w:p w14:paraId="6E6EC4A1" w14:textId="77777777" w:rsidR="004124A6" w:rsidRPr="009B1C59" w:rsidRDefault="004124A6" w:rsidP="000A455D">
      <w:pPr>
        <w:pStyle w:val="ListParagraph"/>
        <w:numPr>
          <w:ilvl w:val="0"/>
          <w:numId w:val="3"/>
        </w:numPr>
        <w:spacing w:after="0" w:line="360" w:lineRule="auto"/>
        <w:ind w:left="357" w:hanging="357"/>
        <w:rPr>
          <w:rFonts w:asciiTheme="majorHAnsi" w:hAnsiTheme="majorHAnsi"/>
        </w:rPr>
      </w:pPr>
      <w:r w:rsidRPr="009B1C59">
        <w:rPr>
          <w:rFonts w:asciiTheme="majorHAnsi" w:hAnsiTheme="majorHAnsi"/>
        </w:rPr>
        <w:t xml:space="preserve">Educators are positioned allowing them to watch the maximum area possible. </w:t>
      </w:r>
    </w:p>
    <w:p w14:paraId="2A7A34D9" w14:textId="77777777" w:rsidR="004124A6" w:rsidRPr="009B1C59" w:rsidRDefault="004124A6" w:rsidP="000A455D">
      <w:pPr>
        <w:pStyle w:val="ListParagraph"/>
        <w:numPr>
          <w:ilvl w:val="0"/>
          <w:numId w:val="3"/>
        </w:numPr>
        <w:spacing w:after="0" w:line="360" w:lineRule="auto"/>
        <w:ind w:left="357" w:hanging="357"/>
        <w:rPr>
          <w:rFonts w:asciiTheme="majorHAnsi" w:hAnsiTheme="majorHAnsi"/>
        </w:rPr>
      </w:pPr>
      <w:r w:rsidRPr="009B1C59">
        <w:rPr>
          <w:rFonts w:asciiTheme="majorHAnsi" w:hAnsiTheme="majorHAnsi"/>
        </w:rPr>
        <w:t xml:space="preserve">Ensure Educators move around the environment to ensure </w:t>
      </w:r>
      <w:r>
        <w:rPr>
          <w:rFonts w:asciiTheme="majorHAnsi" w:hAnsiTheme="majorHAnsi"/>
        </w:rPr>
        <w:t xml:space="preserve">the </w:t>
      </w:r>
      <w:r w:rsidRPr="009B1C59">
        <w:rPr>
          <w:rFonts w:asciiTheme="majorHAnsi" w:hAnsiTheme="majorHAnsi"/>
        </w:rPr>
        <w:t xml:space="preserve">best view of the area and to avoid standing with their back to the children or talking with other Educators. </w:t>
      </w:r>
    </w:p>
    <w:p w14:paraId="2D4A3316" w14:textId="77777777" w:rsidR="004124A6" w:rsidRPr="009B1C59" w:rsidRDefault="004124A6" w:rsidP="000A455D">
      <w:pPr>
        <w:pStyle w:val="ListParagraph"/>
        <w:numPr>
          <w:ilvl w:val="0"/>
          <w:numId w:val="3"/>
        </w:numPr>
        <w:spacing w:after="0" w:line="360" w:lineRule="auto"/>
        <w:ind w:left="357" w:hanging="357"/>
        <w:rPr>
          <w:rFonts w:asciiTheme="majorHAnsi" w:hAnsiTheme="majorHAnsi"/>
        </w:rPr>
      </w:pPr>
      <w:r w:rsidRPr="009B1C59">
        <w:rPr>
          <w:rFonts w:asciiTheme="majorHAnsi" w:hAnsiTheme="majorHAnsi"/>
        </w:rPr>
        <w:t>Develop and maintain rosters that ensure continuity of care and adequate supervision at all times when children are being cared for and educated in the Service and on excursions.</w:t>
      </w:r>
    </w:p>
    <w:p w14:paraId="1296AD0F" w14:textId="77777777" w:rsidR="004124A6" w:rsidRPr="00E06BD6" w:rsidRDefault="004124A6" w:rsidP="000A455D">
      <w:pPr>
        <w:pStyle w:val="ListParagraph"/>
        <w:numPr>
          <w:ilvl w:val="0"/>
          <w:numId w:val="3"/>
        </w:numPr>
        <w:spacing w:after="0" w:line="360" w:lineRule="auto"/>
        <w:ind w:left="357" w:hanging="357"/>
        <w:rPr>
          <w:rFonts w:asciiTheme="majorHAnsi" w:hAnsiTheme="majorHAnsi"/>
        </w:rPr>
      </w:pPr>
      <w:r w:rsidRPr="00E06BD6">
        <w:rPr>
          <w:rFonts w:asciiTheme="majorHAnsi" w:hAnsiTheme="majorHAnsi"/>
        </w:rPr>
        <w:t xml:space="preserve">Develop, maintain and regularly review a supervision plan and strategies for both the indoor and outdoor areas, which will support Educators to position themselves effectively to allow them to observe the maximum area possible.  </w:t>
      </w:r>
    </w:p>
    <w:p w14:paraId="3979D8AA" w14:textId="77777777" w:rsidR="004124A6" w:rsidRPr="00E06BD6" w:rsidRDefault="004124A6" w:rsidP="000A455D">
      <w:pPr>
        <w:pStyle w:val="ListParagraph"/>
        <w:numPr>
          <w:ilvl w:val="0"/>
          <w:numId w:val="3"/>
        </w:numPr>
        <w:spacing w:after="0" w:line="360" w:lineRule="auto"/>
        <w:ind w:left="363"/>
        <w:rPr>
          <w:rFonts w:asciiTheme="majorHAnsi" w:hAnsiTheme="majorHAnsi"/>
        </w:rPr>
      </w:pPr>
      <w:r w:rsidRPr="00E06BD6">
        <w:rPr>
          <w:rFonts w:asciiTheme="majorHAnsi" w:hAnsiTheme="majorHAnsi"/>
        </w:rPr>
        <w:t>Assess and plan ongoing supervision taking into consideration the layout of the premises and grounds, any higher risk activities, the presence of any animals, the location of activities and the location of bathroom and nappy change facilities. The supervision plan and strategies will be displayed for families in all rooms and in the outdoor area.</w:t>
      </w:r>
    </w:p>
    <w:p w14:paraId="1279BECA" w14:textId="25B7497A" w:rsidR="004124A6" w:rsidRPr="00E06BD6" w:rsidRDefault="004124A6" w:rsidP="000A455D">
      <w:pPr>
        <w:pStyle w:val="ListParagraph"/>
        <w:numPr>
          <w:ilvl w:val="0"/>
          <w:numId w:val="3"/>
        </w:numPr>
        <w:spacing w:after="0" w:line="360" w:lineRule="auto"/>
        <w:ind w:left="363"/>
        <w:rPr>
          <w:rFonts w:asciiTheme="majorHAnsi" w:hAnsiTheme="majorHAnsi"/>
        </w:rPr>
      </w:pPr>
      <w:r w:rsidRPr="00E06BD6">
        <w:rPr>
          <w:rFonts w:asciiTheme="majorHAnsi" w:hAnsiTheme="majorHAnsi"/>
        </w:rPr>
        <w:t xml:space="preserve">Adopt accepted best </w:t>
      </w:r>
      <w:r w:rsidR="00380118" w:rsidRPr="00E06BD6">
        <w:rPr>
          <w:rFonts w:asciiTheme="majorHAnsi" w:hAnsiTheme="majorHAnsi"/>
        </w:rPr>
        <w:t>practice</w:t>
      </w:r>
      <w:r w:rsidR="00380118">
        <w:rPr>
          <w:rFonts w:asciiTheme="majorHAnsi" w:hAnsiTheme="majorHAnsi"/>
        </w:rPr>
        <w:t>;</w:t>
      </w:r>
      <w:r>
        <w:rPr>
          <w:rFonts w:asciiTheme="majorHAnsi" w:hAnsiTheme="majorHAnsi"/>
        </w:rPr>
        <w:t xml:space="preserve"> </w:t>
      </w:r>
      <w:r w:rsidRPr="00E06BD6">
        <w:rPr>
          <w:rFonts w:asciiTheme="majorHAnsi" w:hAnsiTheme="majorHAnsi"/>
        </w:rPr>
        <w:t>ensuring no staff member is left alone with a child to support child protection protocols.</w:t>
      </w:r>
    </w:p>
    <w:p w14:paraId="6398F45E" w14:textId="77777777" w:rsidR="004124A6" w:rsidRPr="009B1C59" w:rsidRDefault="004124A6" w:rsidP="000A455D">
      <w:pPr>
        <w:pStyle w:val="ListParagraph"/>
        <w:numPr>
          <w:ilvl w:val="0"/>
          <w:numId w:val="3"/>
        </w:numPr>
        <w:spacing w:after="0" w:line="360" w:lineRule="auto"/>
        <w:ind w:left="357" w:hanging="357"/>
        <w:contextualSpacing w:val="0"/>
        <w:rPr>
          <w:rFonts w:asciiTheme="majorHAnsi" w:hAnsiTheme="majorHAnsi"/>
        </w:rPr>
      </w:pPr>
      <w:r>
        <w:rPr>
          <w:rFonts w:asciiTheme="majorHAnsi" w:hAnsiTheme="majorHAnsi"/>
        </w:rPr>
        <w:t>Ensure that a Risk Assessment and</w:t>
      </w:r>
      <w:r w:rsidRPr="00E06BD6">
        <w:rPr>
          <w:rFonts w:asciiTheme="majorHAnsi" w:hAnsiTheme="majorHAnsi"/>
        </w:rPr>
        <w:t xml:space="preserve"> Management Plan is carried out before an authorisation is requested for an excursion</w:t>
      </w:r>
      <w:r w:rsidRPr="009B1C59">
        <w:rPr>
          <w:rFonts w:asciiTheme="majorHAnsi" w:hAnsiTheme="majorHAnsi"/>
        </w:rPr>
        <w:t>. The risk assessment will consider and identify the number of adults required to ensure continuous adequate supervision throughout the excursion.</w:t>
      </w:r>
    </w:p>
    <w:p w14:paraId="7DE3A1B2" w14:textId="77777777" w:rsidR="004124A6" w:rsidRPr="009B1C59" w:rsidRDefault="004124A6" w:rsidP="000A455D">
      <w:pPr>
        <w:pStyle w:val="ListParagraph"/>
        <w:numPr>
          <w:ilvl w:val="0"/>
          <w:numId w:val="3"/>
        </w:numPr>
        <w:spacing w:after="0" w:line="360" w:lineRule="auto"/>
        <w:ind w:left="357" w:hanging="357"/>
        <w:contextualSpacing w:val="0"/>
        <w:rPr>
          <w:rFonts w:asciiTheme="majorHAnsi" w:hAnsiTheme="majorHAnsi"/>
        </w:rPr>
      </w:pPr>
      <w:r w:rsidRPr="009B1C59">
        <w:rPr>
          <w:rFonts w:asciiTheme="majorHAnsi" w:hAnsiTheme="majorHAnsi"/>
        </w:rPr>
        <w:lastRenderedPageBreak/>
        <w:t xml:space="preserve">Ensure that parents are notified as soon as practicable but within 24 hours if their child is involved in a serious incident/situation at the Service. </w:t>
      </w:r>
      <w:r>
        <w:rPr>
          <w:rFonts w:asciiTheme="majorHAnsi" w:hAnsiTheme="majorHAnsi"/>
        </w:rPr>
        <w:t>D</w:t>
      </w:r>
      <w:r w:rsidRPr="009B1C59">
        <w:rPr>
          <w:rFonts w:asciiTheme="majorHAnsi" w:hAnsiTheme="majorHAnsi"/>
        </w:rPr>
        <w:t xml:space="preserve">etails of the incident/situation </w:t>
      </w:r>
      <w:r>
        <w:rPr>
          <w:rFonts w:asciiTheme="majorHAnsi" w:hAnsiTheme="majorHAnsi"/>
        </w:rPr>
        <w:t xml:space="preserve">are to be </w:t>
      </w:r>
      <w:r w:rsidRPr="009B1C59">
        <w:rPr>
          <w:rFonts w:asciiTheme="majorHAnsi" w:hAnsiTheme="majorHAnsi"/>
        </w:rPr>
        <w:t>recorded on the Incident, Injury, Trauma and Illness Record</w:t>
      </w:r>
      <w:r>
        <w:rPr>
          <w:rFonts w:asciiTheme="majorHAnsi" w:hAnsiTheme="majorHAnsi"/>
        </w:rPr>
        <w:t>.</w:t>
      </w:r>
    </w:p>
    <w:p w14:paraId="20BF2AEB" w14:textId="77777777" w:rsidR="004124A6" w:rsidRPr="009B1C59" w:rsidRDefault="004124A6" w:rsidP="000A455D">
      <w:pPr>
        <w:pStyle w:val="ListParagraph"/>
        <w:numPr>
          <w:ilvl w:val="0"/>
          <w:numId w:val="3"/>
        </w:numPr>
        <w:spacing w:after="0" w:line="360" w:lineRule="auto"/>
        <w:ind w:left="357" w:hanging="357"/>
        <w:contextualSpacing w:val="0"/>
        <w:rPr>
          <w:rFonts w:asciiTheme="majorHAnsi" w:hAnsiTheme="majorHAnsi"/>
        </w:rPr>
      </w:pPr>
      <w:r w:rsidRPr="009B1C59">
        <w:rPr>
          <w:rFonts w:asciiTheme="majorHAnsi" w:hAnsiTheme="majorHAnsi"/>
        </w:rPr>
        <w:t>Ensure that if the incident, situation or event presents imminent or severe risk to the health, safety</w:t>
      </w:r>
      <w:r>
        <w:rPr>
          <w:rFonts w:asciiTheme="majorHAnsi" w:hAnsiTheme="majorHAnsi"/>
        </w:rPr>
        <w:t>,</w:t>
      </w:r>
      <w:r w:rsidRPr="009B1C59">
        <w:rPr>
          <w:rFonts w:asciiTheme="majorHAnsi" w:hAnsiTheme="majorHAnsi"/>
        </w:rPr>
        <w:t xml:space="preserve"> and</w:t>
      </w:r>
      <w:r>
        <w:rPr>
          <w:rFonts w:asciiTheme="majorHAnsi" w:hAnsiTheme="majorHAnsi"/>
        </w:rPr>
        <w:t>/or</w:t>
      </w:r>
      <w:r w:rsidRPr="009B1C59">
        <w:rPr>
          <w:rFonts w:asciiTheme="majorHAnsi" w:hAnsiTheme="majorHAnsi"/>
        </w:rPr>
        <w:t xml:space="preserve"> wellbeing of the child or if an ambulance was called in response (not as a precaution) the regulatory authority will be notified within 24 hours.</w:t>
      </w:r>
    </w:p>
    <w:p w14:paraId="5C6143FE" w14:textId="77777777" w:rsidR="004124A6" w:rsidRDefault="004124A6" w:rsidP="004124A6">
      <w:pPr>
        <w:spacing w:after="200" w:line="360" w:lineRule="auto"/>
        <w:rPr>
          <w:rFonts w:asciiTheme="majorHAnsi" w:hAnsiTheme="majorHAnsi"/>
        </w:rPr>
      </w:pPr>
    </w:p>
    <w:p w14:paraId="42D61A62" w14:textId="06666DBE" w:rsidR="004124A6" w:rsidRPr="004124A6" w:rsidRDefault="004124A6" w:rsidP="004124A6">
      <w:pPr>
        <w:spacing w:after="200" w:line="360" w:lineRule="auto"/>
        <w:rPr>
          <w:rFonts w:asciiTheme="majorHAnsi" w:hAnsiTheme="majorHAnsi"/>
        </w:rPr>
      </w:pPr>
      <w:r w:rsidRPr="004124A6">
        <w:rPr>
          <w:color w:val="34ABC1"/>
          <w:sz w:val="24"/>
        </w:rPr>
        <w:t>Educators will</w:t>
      </w:r>
    </w:p>
    <w:p w14:paraId="4A66A42F"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 xml:space="preserve">Have a sound understanding of their duty of care and responsibilities in ensuring children are within a safe environment. </w:t>
      </w:r>
    </w:p>
    <w:p w14:paraId="5EB57DB5"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Pr>
          <w:rFonts w:asciiTheme="majorHAnsi" w:hAnsiTheme="majorHAnsi"/>
        </w:rPr>
        <w:t>Adhere to</w:t>
      </w:r>
      <w:r w:rsidRPr="009B1C59">
        <w:rPr>
          <w:rFonts w:asciiTheme="majorHAnsi" w:hAnsiTheme="majorHAnsi"/>
        </w:rPr>
        <w:t xml:space="preserve"> a supervision plan and strategies for both the indoor and outdoor environment, assisting </w:t>
      </w:r>
      <w:r>
        <w:rPr>
          <w:rFonts w:asciiTheme="majorHAnsi" w:hAnsiTheme="majorHAnsi"/>
        </w:rPr>
        <w:t>colleagues</w:t>
      </w:r>
      <w:r w:rsidRPr="009B1C59">
        <w:rPr>
          <w:rFonts w:asciiTheme="majorHAnsi" w:hAnsiTheme="majorHAnsi"/>
        </w:rPr>
        <w:t xml:space="preserve"> to position themselves in order to effectively supervise children’s play. The supervision plan will include the floor plan of the Service and include the location of activities, bathroom, and nappy change facilities. </w:t>
      </w:r>
    </w:p>
    <w:p w14:paraId="73A47266"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 xml:space="preserve">Inform new and relief educators about supervision arrangements, outlining their supervision responsibilities. </w:t>
      </w:r>
    </w:p>
    <w:p w14:paraId="06C5B79B"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Regularly evaluate the efficiency of the supervision plan.</w:t>
      </w:r>
    </w:p>
    <w:p w14:paraId="6A217538"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Ensure any educators under the age of 18 years old are never left alone with children.</w:t>
      </w:r>
    </w:p>
    <w:p w14:paraId="209AE33A" w14:textId="77777777" w:rsidR="004124A6" w:rsidRPr="009B1C59" w:rsidRDefault="004124A6" w:rsidP="000A455D">
      <w:pPr>
        <w:pStyle w:val="ListParagraph"/>
        <w:numPr>
          <w:ilvl w:val="0"/>
          <w:numId w:val="8"/>
        </w:numPr>
        <w:spacing w:after="200" w:line="360" w:lineRule="auto"/>
        <w:ind w:left="360"/>
        <w:rPr>
          <w:rFonts w:asciiTheme="majorHAnsi" w:hAnsiTheme="majorHAnsi"/>
          <w:color w:val="FF0000"/>
        </w:rPr>
      </w:pPr>
      <w:r>
        <w:rPr>
          <w:rFonts w:asciiTheme="majorHAnsi" w:hAnsiTheme="majorHAnsi"/>
          <w:color w:val="FF0000"/>
        </w:rPr>
        <w:t xml:space="preserve">Ensure </w:t>
      </w:r>
      <w:r w:rsidRPr="009B1C59">
        <w:rPr>
          <w:rFonts w:asciiTheme="majorHAnsi" w:hAnsiTheme="majorHAnsi"/>
          <w:color w:val="FF0000"/>
        </w:rPr>
        <w:t xml:space="preserve">that </w:t>
      </w:r>
      <w:r>
        <w:rPr>
          <w:rFonts w:asciiTheme="majorHAnsi" w:hAnsiTheme="majorHAnsi"/>
          <w:color w:val="FF0000"/>
        </w:rPr>
        <w:t>at least one other</w:t>
      </w:r>
      <w:r w:rsidRPr="009B1C59">
        <w:rPr>
          <w:rFonts w:asciiTheme="majorHAnsi" w:hAnsiTheme="majorHAnsi"/>
          <w:color w:val="FF0000"/>
        </w:rPr>
        <w:t xml:space="preserve"> educator</w:t>
      </w:r>
      <w:r>
        <w:rPr>
          <w:rFonts w:asciiTheme="majorHAnsi" w:hAnsiTheme="majorHAnsi"/>
          <w:color w:val="FF0000"/>
        </w:rPr>
        <w:t xml:space="preserve"> is</w:t>
      </w:r>
      <w:r w:rsidRPr="009B1C59">
        <w:rPr>
          <w:rFonts w:asciiTheme="majorHAnsi" w:hAnsiTheme="majorHAnsi"/>
          <w:color w:val="FF0000"/>
        </w:rPr>
        <w:t xml:space="preserve"> within </w:t>
      </w:r>
      <w:r>
        <w:rPr>
          <w:rFonts w:asciiTheme="majorHAnsi" w:hAnsiTheme="majorHAnsi"/>
          <w:color w:val="FF0000"/>
        </w:rPr>
        <w:t>sight</w:t>
      </w:r>
      <w:r w:rsidRPr="009B1C59">
        <w:rPr>
          <w:rFonts w:asciiTheme="majorHAnsi" w:hAnsiTheme="majorHAnsi"/>
          <w:color w:val="FF0000"/>
        </w:rPr>
        <w:t xml:space="preserve"> when working with children and when supporting children with toileting/hygiene routines. </w:t>
      </w:r>
    </w:p>
    <w:p w14:paraId="710BE18A"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 xml:space="preserve">Arrange the education and care environment to maximise the ability of educators to supervise all areas accessible to children. </w:t>
      </w:r>
      <w:r>
        <w:rPr>
          <w:rFonts w:asciiTheme="majorHAnsi" w:hAnsiTheme="majorHAnsi"/>
        </w:rPr>
        <w:t>E</w:t>
      </w:r>
      <w:r w:rsidRPr="009B1C59">
        <w:rPr>
          <w:rFonts w:asciiTheme="majorHAnsi" w:hAnsiTheme="majorHAnsi"/>
        </w:rPr>
        <w:t>mphasis will be on gates, the fence line and doors during arrival and departure times.</w:t>
      </w:r>
    </w:p>
    <w:p w14:paraId="6FD8512F"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Communicate with each other about their location within the environment.</w:t>
      </w:r>
    </w:p>
    <w:p w14:paraId="58AF6133"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 xml:space="preserve">Maintain correct ratios adhering to the National Education Regulations throughout the education and care environment. </w:t>
      </w:r>
    </w:p>
    <w:p w14:paraId="5B30B55F"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 xml:space="preserve">Ensure that all children are in sight or hearing of educators at all times. </w:t>
      </w:r>
    </w:p>
    <w:p w14:paraId="76AAE12A"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 xml:space="preserve">Ensure that no child </w:t>
      </w:r>
      <w:r>
        <w:rPr>
          <w:rFonts w:asciiTheme="majorHAnsi" w:hAnsiTheme="majorHAnsi"/>
        </w:rPr>
        <w:t>is</w:t>
      </w:r>
      <w:r w:rsidRPr="009B1C59">
        <w:rPr>
          <w:rFonts w:asciiTheme="majorHAnsi" w:hAnsiTheme="majorHAnsi"/>
        </w:rPr>
        <w:t xml:space="preserve"> left alone while eating or at nappy change and toileting times. </w:t>
      </w:r>
    </w:p>
    <w:p w14:paraId="148CF86E"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Supervise children during rest time in accordance with the Sleep and Rest Time Policy.</w:t>
      </w:r>
    </w:p>
    <w:p w14:paraId="7F234449"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Ensure that hazardous equipment and chemicals are inaccessible to children.</w:t>
      </w:r>
    </w:p>
    <w:p w14:paraId="06FFAACB"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 xml:space="preserve">Scan the environment during interacting with individuals or small groups. </w:t>
      </w:r>
    </w:p>
    <w:p w14:paraId="1947F468"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Pr>
          <w:rFonts w:asciiTheme="majorHAnsi" w:hAnsiTheme="majorHAnsi"/>
        </w:rPr>
        <w:t>Continuously s</w:t>
      </w:r>
      <w:r w:rsidRPr="009B1C59">
        <w:rPr>
          <w:rFonts w:asciiTheme="majorHAnsi" w:hAnsiTheme="majorHAnsi"/>
        </w:rPr>
        <w:t>can and look around the area to observe all the children in the vicinity.</w:t>
      </w:r>
    </w:p>
    <w:p w14:paraId="7877F845"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lastRenderedPageBreak/>
        <w:t xml:space="preserve">Implement </w:t>
      </w:r>
      <w:r>
        <w:rPr>
          <w:rFonts w:asciiTheme="majorHAnsi" w:hAnsiTheme="majorHAnsi"/>
        </w:rPr>
        <w:t>correct</w:t>
      </w:r>
      <w:r w:rsidRPr="009B1C59">
        <w:rPr>
          <w:rFonts w:asciiTheme="majorHAnsi" w:hAnsiTheme="majorHAnsi"/>
        </w:rPr>
        <w:t xml:space="preserve"> supervision strategies and not perform other duties while responsible for the supervision of children.</w:t>
      </w:r>
    </w:p>
    <w:p w14:paraId="2D7C5BA4"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Listen closely to children whilst supervising areas that may not be in a direct line of sight.</w:t>
      </w:r>
    </w:p>
    <w:p w14:paraId="16D45DB3" w14:textId="77777777" w:rsidR="004124A6" w:rsidRPr="009B1C59" w:rsidRDefault="004124A6" w:rsidP="000A455D">
      <w:pPr>
        <w:pStyle w:val="ListParagraph"/>
        <w:numPr>
          <w:ilvl w:val="0"/>
          <w:numId w:val="8"/>
        </w:numPr>
        <w:spacing w:after="200" w:line="360" w:lineRule="auto"/>
        <w:ind w:left="360"/>
        <w:rPr>
          <w:rFonts w:asciiTheme="majorHAnsi" w:hAnsiTheme="majorHAnsi"/>
        </w:rPr>
      </w:pPr>
      <w:r w:rsidRPr="009B1C59">
        <w:rPr>
          <w:rFonts w:asciiTheme="majorHAnsi" w:hAnsiTheme="majorHAnsi"/>
        </w:rPr>
        <w:t xml:space="preserve">There is a mixture of activities to allow for appropriate supervision. </w:t>
      </w:r>
    </w:p>
    <w:p w14:paraId="7403E350" w14:textId="77777777" w:rsidR="004124A6" w:rsidRDefault="004124A6" w:rsidP="004124A6">
      <w:pPr>
        <w:spacing w:after="200" w:line="360" w:lineRule="auto"/>
        <w:rPr>
          <w:rFonts w:asciiTheme="majorHAnsi" w:hAnsiTheme="majorHAnsi"/>
        </w:rPr>
      </w:pPr>
    </w:p>
    <w:p w14:paraId="1F3D63E8" w14:textId="77777777" w:rsidR="004124A6" w:rsidRPr="004124A6" w:rsidRDefault="004124A6" w:rsidP="004124A6">
      <w:pPr>
        <w:spacing w:line="240" w:lineRule="auto"/>
      </w:pPr>
      <w:r w:rsidRPr="004124A6">
        <w:rPr>
          <w:color w:val="34ABC1"/>
        </w:rPr>
        <w:t>Consideration will be given to the design and arrangement of children’s environments to support active supervision by:</w:t>
      </w:r>
    </w:p>
    <w:p w14:paraId="7CBE06E4" w14:textId="77777777" w:rsidR="004124A6" w:rsidRPr="009B1C59" w:rsidRDefault="004124A6" w:rsidP="000A455D">
      <w:pPr>
        <w:numPr>
          <w:ilvl w:val="0"/>
          <w:numId w:val="9"/>
        </w:numPr>
        <w:spacing w:after="200" w:line="360" w:lineRule="auto"/>
        <w:ind w:left="360"/>
        <w:rPr>
          <w:rFonts w:asciiTheme="majorHAnsi" w:hAnsiTheme="majorHAnsi"/>
        </w:rPr>
      </w:pPr>
      <w:r w:rsidRPr="009B1C59">
        <w:rPr>
          <w:rFonts w:asciiTheme="majorHAnsi" w:hAnsiTheme="majorHAnsi"/>
        </w:rPr>
        <w:t>Using supervision skills to recognise areas of risk therefore reducing the potential for injury or incident to children and adults.</w:t>
      </w:r>
    </w:p>
    <w:p w14:paraId="211B5F7A" w14:textId="77777777" w:rsidR="004124A6" w:rsidRPr="009B1C59" w:rsidRDefault="004124A6" w:rsidP="000A455D">
      <w:pPr>
        <w:numPr>
          <w:ilvl w:val="0"/>
          <w:numId w:val="9"/>
        </w:numPr>
        <w:spacing w:after="200" w:line="360" w:lineRule="auto"/>
        <w:ind w:left="360"/>
        <w:rPr>
          <w:rFonts w:asciiTheme="majorHAnsi" w:hAnsiTheme="majorHAnsi"/>
        </w:rPr>
      </w:pPr>
      <w:r w:rsidRPr="009B1C59">
        <w:rPr>
          <w:rFonts w:asciiTheme="majorHAnsi" w:hAnsiTheme="majorHAnsi"/>
        </w:rPr>
        <w:t>Guiding Educators to make decisions about when children’s play needs to be interrupted and redirected.</w:t>
      </w:r>
    </w:p>
    <w:p w14:paraId="322A8E88" w14:textId="77777777" w:rsidR="004124A6" w:rsidRPr="009B1C59" w:rsidRDefault="004124A6" w:rsidP="000A455D">
      <w:pPr>
        <w:numPr>
          <w:ilvl w:val="0"/>
          <w:numId w:val="9"/>
        </w:numPr>
        <w:spacing w:after="200" w:line="360" w:lineRule="auto"/>
        <w:ind w:left="360"/>
        <w:rPr>
          <w:rFonts w:asciiTheme="majorHAnsi" w:hAnsiTheme="majorHAnsi"/>
        </w:rPr>
      </w:pPr>
      <w:r w:rsidRPr="009B1C59">
        <w:rPr>
          <w:rFonts w:asciiTheme="majorHAnsi" w:hAnsiTheme="majorHAnsi"/>
        </w:rPr>
        <w:t>Supporting Educators with specific strategies.</w:t>
      </w:r>
    </w:p>
    <w:p w14:paraId="25AACEA0" w14:textId="77777777" w:rsidR="004124A6" w:rsidRPr="009B1C59" w:rsidRDefault="004124A6" w:rsidP="000A455D">
      <w:pPr>
        <w:numPr>
          <w:ilvl w:val="0"/>
          <w:numId w:val="9"/>
        </w:numPr>
        <w:spacing w:after="200" w:line="360" w:lineRule="auto"/>
        <w:ind w:left="360"/>
        <w:rPr>
          <w:rFonts w:asciiTheme="majorHAnsi" w:hAnsiTheme="majorHAnsi"/>
        </w:rPr>
      </w:pPr>
      <w:r w:rsidRPr="009B1C59">
        <w:rPr>
          <w:rFonts w:asciiTheme="majorHAnsi" w:hAnsiTheme="majorHAnsi"/>
        </w:rPr>
        <w:t>Providing consistent supervision strategies when the Service requires relief Educators.</w:t>
      </w:r>
    </w:p>
    <w:p w14:paraId="24C59416" w14:textId="77777777" w:rsidR="004124A6" w:rsidRPr="009B1C59" w:rsidRDefault="004124A6" w:rsidP="000A455D">
      <w:pPr>
        <w:numPr>
          <w:ilvl w:val="0"/>
          <w:numId w:val="9"/>
        </w:numPr>
        <w:spacing w:after="200" w:line="360" w:lineRule="auto"/>
        <w:ind w:left="360"/>
        <w:rPr>
          <w:rFonts w:asciiTheme="majorHAnsi" w:hAnsiTheme="majorHAnsi"/>
        </w:rPr>
      </w:pPr>
      <w:r w:rsidRPr="009B1C59">
        <w:rPr>
          <w:rFonts w:asciiTheme="majorHAnsi" w:hAnsiTheme="majorHAnsi"/>
        </w:rPr>
        <w:t>Providing direct, constant and proximal monitoring to children undertaking activities that involve some risk and recognising when the ratio of educators to children needs to be increased.</w:t>
      </w:r>
    </w:p>
    <w:p w14:paraId="09929EEE" w14:textId="58E7CA01" w:rsidR="004124A6" w:rsidRDefault="004124A6" w:rsidP="004124A6">
      <w:pPr>
        <w:spacing w:after="200" w:line="360" w:lineRule="auto"/>
        <w:rPr>
          <w:rFonts w:asciiTheme="majorHAnsi" w:hAnsiTheme="majorHAnsi" w:cs="Calibri"/>
        </w:rPr>
      </w:pPr>
    </w:p>
    <w:p w14:paraId="35EF4D7E" w14:textId="5F7CF56A" w:rsidR="00E5094F" w:rsidRPr="00B35707" w:rsidRDefault="00E5094F" w:rsidP="004124A6">
      <w:pPr>
        <w:spacing w:after="200" w:line="360" w:lineRule="auto"/>
        <w:rPr>
          <w:rFonts w:asciiTheme="majorHAnsi" w:hAnsiTheme="majorHAnsi" w:cs="Calibri"/>
        </w:rPr>
      </w:pPr>
      <w:r>
        <w:rPr>
          <w:rFonts w:cs="Arial"/>
          <w:sz w:val="24"/>
          <w:szCs w:val="24"/>
          <w:lang w:val="en-US"/>
        </w:rPr>
        <w:t>Source</w:t>
      </w:r>
    </w:p>
    <w:p w14:paraId="0F90C721" w14:textId="77777777" w:rsidR="004124A6" w:rsidRPr="004124A6" w:rsidRDefault="004124A6" w:rsidP="00380118">
      <w:pPr>
        <w:spacing w:line="240" w:lineRule="auto"/>
        <w:rPr>
          <w:rFonts w:asciiTheme="majorHAnsi" w:hAnsiTheme="majorHAnsi"/>
          <w:b/>
          <w:sz w:val="18"/>
          <w:szCs w:val="18"/>
        </w:rPr>
      </w:pPr>
      <w:r w:rsidRPr="004124A6">
        <w:rPr>
          <w:rFonts w:asciiTheme="majorHAnsi" w:hAnsiTheme="majorHAnsi"/>
          <w:sz w:val="18"/>
          <w:szCs w:val="18"/>
        </w:rPr>
        <w:t xml:space="preserve">Australian Children’s Education &amp; Care Quality Authority. (2014). </w:t>
      </w:r>
    </w:p>
    <w:p w14:paraId="40340359" w14:textId="77777777" w:rsidR="004124A6" w:rsidRPr="004124A6" w:rsidRDefault="004124A6" w:rsidP="00380118">
      <w:pPr>
        <w:spacing w:line="240" w:lineRule="auto"/>
        <w:rPr>
          <w:rFonts w:asciiTheme="majorHAnsi" w:hAnsiTheme="majorHAnsi"/>
          <w:b/>
          <w:sz w:val="18"/>
          <w:szCs w:val="18"/>
        </w:rPr>
      </w:pPr>
      <w:r w:rsidRPr="004124A6">
        <w:rPr>
          <w:rFonts w:asciiTheme="majorHAnsi" w:hAnsiTheme="majorHAnsi"/>
          <w:sz w:val="18"/>
          <w:szCs w:val="18"/>
        </w:rPr>
        <w:t>Early Childhood Australia Code of Ethics. (2016).</w:t>
      </w:r>
    </w:p>
    <w:p w14:paraId="26713650" w14:textId="77777777" w:rsidR="004124A6" w:rsidRPr="004124A6" w:rsidRDefault="004124A6" w:rsidP="00380118">
      <w:pPr>
        <w:spacing w:line="240" w:lineRule="auto"/>
        <w:rPr>
          <w:rFonts w:asciiTheme="majorHAnsi" w:hAnsiTheme="majorHAnsi"/>
          <w:b/>
          <w:sz w:val="18"/>
          <w:szCs w:val="18"/>
        </w:rPr>
      </w:pPr>
      <w:r w:rsidRPr="004124A6">
        <w:rPr>
          <w:rFonts w:asciiTheme="majorHAnsi" w:hAnsiTheme="majorHAnsi"/>
          <w:sz w:val="18"/>
          <w:szCs w:val="18"/>
        </w:rPr>
        <w:t xml:space="preserve">Frith, J., </w:t>
      </w:r>
      <w:proofErr w:type="spellStart"/>
      <w:r w:rsidRPr="004124A6">
        <w:rPr>
          <w:rFonts w:asciiTheme="majorHAnsi" w:hAnsiTheme="majorHAnsi"/>
          <w:sz w:val="18"/>
          <w:szCs w:val="18"/>
        </w:rPr>
        <w:t>Kambouris</w:t>
      </w:r>
      <w:proofErr w:type="spellEnd"/>
      <w:r w:rsidRPr="004124A6">
        <w:rPr>
          <w:rFonts w:asciiTheme="majorHAnsi" w:hAnsiTheme="majorHAnsi"/>
          <w:sz w:val="18"/>
          <w:szCs w:val="18"/>
        </w:rPr>
        <w:t xml:space="preserve">, N., &amp; O'Grady, O. (2003). </w:t>
      </w:r>
      <w:r w:rsidRPr="004124A6">
        <w:rPr>
          <w:rFonts w:asciiTheme="majorHAnsi" w:hAnsiTheme="majorHAnsi"/>
          <w:iCs/>
          <w:sz w:val="18"/>
          <w:szCs w:val="18"/>
        </w:rPr>
        <w:t>Health &amp; safety in children's centres: Model policies &amp; practices</w:t>
      </w:r>
      <w:r w:rsidRPr="004124A6">
        <w:rPr>
          <w:rFonts w:asciiTheme="majorHAnsi" w:hAnsiTheme="majorHAnsi"/>
          <w:sz w:val="18"/>
          <w:szCs w:val="18"/>
        </w:rPr>
        <w:t xml:space="preserve"> (2nd </w:t>
      </w:r>
      <w:proofErr w:type="spellStart"/>
      <w:r w:rsidRPr="004124A6">
        <w:rPr>
          <w:rFonts w:asciiTheme="majorHAnsi" w:hAnsiTheme="majorHAnsi"/>
          <w:sz w:val="18"/>
          <w:szCs w:val="18"/>
        </w:rPr>
        <w:t>ed</w:t>
      </w:r>
      <w:proofErr w:type="spellEnd"/>
      <w:r w:rsidRPr="004124A6">
        <w:rPr>
          <w:rFonts w:asciiTheme="majorHAnsi" w:hAnsiTheme="majorHAnsi"/>
          <w:sz w:val="18"/>
          <w:szCs w:val="18"/>
        </w:rPr>
        <w:t xml:space="preserve">). </w:t>
      </w:r>
    </w:p>
    <w:p w14:paraId="603D71C1" w14:textId="77777777" w:rsidR="004124A6" w:rsidRPr="004124A6" w:rsidRDefault="004124A6" w:rsidP="00380118">
      <w:pPr>
        <w:spacing w:line="240" w:lineRule="auto"/>
        <w:rPr>
          <w:rFonts w:asciiTheme="majorHAnsi" w:hAnsiTheme="majorHAnsi"/>
          <w:b/>
          <w:sz w:val="18"/>
          <w:szCs w:val="18"/>
        </w:rPr>
      </w:pPr>
      <w:r w:rsidRPr="004124A6">
        <w:rPr>
          <w:rFonts w:asciiTheme="majorHAnsi" w:hAnsiTheme="majorHAnsi"/>
          <w:sz w:val="18"/>
          <w:szCs w:val="18"/>
        </w:rPr>
        <w:t>Guide to the Education and Care Services National Law and the Education and Care Services National Regulations. (2017).</w:t>
      </w:r>
    </w:p>
    <w:p w14:paraId="3041D906" w14:textId="77777777" w:rsidR="004124A6" w:rsidRPr="004124A6" w:rsidRDefault="004124A6" w:rsidP="00380118">
      <w:pPr>
        <w:spacing w:line="240" w:lineRule="auto"/>
        <w:rPr>
          <w:rFonts w:asciiTheme="majorHAnsi" w:hAnsiTheme="majorHAnsi"/>
          <w:b/>
          <w:sz w:val="18"/>
          <w:szCs w:val="18"/>
        </w:rPr>
      </w:pPr>
      <w:r w:rsidRPr="004124A6">
        <w:rPr>
          <w:rFonts w:asciiTheme="majorHAnsi" w:hAnsiTheme="majorHAnsi"/>
          <w:sz w:val="18"/>
          <w:szCs w:val="18"/>
        </w:rPr>
        <w:t>Guide to the National Quality Standard. (2017).</w:t>
      </w:r>
    </w:p>
    <w:p w14:paraId="692F81D6" w14:textId="77777777" w:rsidR="004124A6" w:rsidRPr="004124A6" w:rsidRDefault="004124A6" w:rsidP="00380118">
      <w:pPr>
        <w:spacing w:line="240" w:lineRule="auto"/>
        <w:rPr>
          <w:rFonts w:asciiTheme="majorHAnsi" w:hAnsiTheme="majorHAnsi"/>
          <w:b/>
          <w:sz w:val="18"/>
          <w:szCs w:val="18"/>
        </w:rPr>
      </w:pPr>
      <w:r w:rsidRPr="004124A6">
        <w:rPr>
          <w:rFonts w:asciiTheme="majorHAnsi" w:hAnsiTheme="majorHAnsi"/>
          <w:sz w:val="18"/>
          <w:szCs w:val="18"/>
        </w:rPr>
        <w:t>Revised National Quality Standard. (2018).</w:t>
      </w:r>
    </w:p>
    <w:p w14:paraId="5E94D398" w14:textId="77777777" w:rsidR="004124A6" w:rsidRPr="004124A6" w:rsidRDefault="004124A6" w:rsidP="00380118">
      <w:pPr>
        <w:spacing w:line="240" w:lineRule="auto"/>
        <w:rPr>
          <w:rFonts w:asciiTheme="majorHAnsi" w:hAnsiTheme="majorHAnsi" w:cs="Gill Sans"/>
          <w:b/>
          <w:sz w:val="18"/>
          <w:szCs w:val="18"/>
        </w:rPr>
      </w:pPr>
      <w:r w:rsidRPr="004124A6">
        <w:rPr>
          <w:rFonts w:asciiTheme="majorHAnsi" w:hAnsiTheme="majorHAnsi" w:cs="Gill Sans"/>
          <w:sz w:val="18"/>
          <w:szCs w:val="18"/>
        </w:rPr>
        <w:t>Tansey, S. (2005). Supervision in children's services [</w:t>
      </w:r>
      <w:r w:rsidRPr="004124A6">
        <w:rPr>
          <w:rFonts w:asciiTheme="majorHAnsi" w:hAnsiTheme="majorHAnsi" w:cs="Gill Sans"/>
          <w:iCs/>
          <w:sz w:val="18"/>
          <w:szCs w:val="18"/>
        </w:rPr>
        <w:t>Putting Children First</w:t>
      </w:r>
      <w:r w:rsidRPr="004124A6">
        <w:rPr>
          <w:rFonts w:asciiTheme="majorHAnsi" w:hAnsiTheme="majorHAnsi" w:cs="Gill Sans"/>
          <w:sz w:val="18"/>
          <w:szCs w:val="18"/>
        </w:rPr>
        <w:t xml:space="preserve">, the Newsletter of the National Childcare Accreditation Council], Issue 15, p. 8-11. </w:t>
      </w:r>
    </w:p>
    <w:p w14:paraId="0E865ACB" w14:textId="70F6D3F6" w:rsidR="004124A6" w:rsidRDefault="004124A6" w:rsidP="00380118">
      <w:pPr>
        <w:spacing w:line="240" w:lineRule="auto"/>
        <w:rPr>
          <w:rFonts w:asciiTheme="majorHAnsi" w:hAnsiTheme="majorHAnsi"/>
          <w:sz w:val="18"/>
          <w:szCs w:val="18"/>
        </w:rPr>
      </w:pPr>
      <w:r w:rsidRPr="004124A6">
        <w:rPr>
          <w:rFonts w:asciiTheme="majorHAnsi" w:hAnsiTheme="majorHAnsi"/>
          <w:sz w:val="18"/>
          <w:szCs w:val="18"/>
        </w:rPr>
        <w:t xml:space="preserve">Victoria Department of Education and Training. (2012). </w:t>
      </w:r>
      <w:r w:rsidRPr="004124A6">
        <w:rPr>
          <w:rFonts w:asciiTheme="majorHAnsi" w:hAnsiTheme="majorHAnsi"/>
          <w:i/>
          <w:sz w:val="18"/>
          <w:szCs w:val="18"/>
        </w:rPr>
        <w:t xml:space="preserve">Supervision </w:t>
      </w:r>
      <w:r w:rsidRPr="004124A6">
        <w:rPr>
          <w:rFonts w:asciiTheme="majorHAnsi" w:hAnsiTheme="majorHAnsi"/>
          <w:sz w:val="18"/>
          <w:szCs w:val="18"/>
        </w:rPr>
        <w:t xml:space="preserve">[Practice Note 12]: </w:t>
      </w:r>
      <w:r w:rsidR="00380118" w:rsidRPr="00380118">
        <w:rPr>
          <w:rFonts w:asciiTheme="majorHAnsi" w:hAnsiTheme="majorHAnsi"/>
          <w:sz w:val="18"/>
          <w:szCs w:val="18"/>
        </w:rPr>
        <w:t>https://www.education.vic.gov.au/Documents/childhood/providers/regulation/pracnotessuperv.pdf</w:t>
      </w:r>
    </w:p>
    <w:p w14:paraId="038A8A8A" w14:textId="77777777" w:rsidR="00380118" w:rsidRDefault="00380118" w:rsidP="00380118">
      <w:pPr>
        <w:spacing w:line="240" w:lineRule="auto"/>
        <w:rPr>
          <w:rFonts w:asciiTheme="majorHAnsi" w:hAnsiTheme="majorHAnsi"/>
          <w:sz w:val="18"/>
          <w:szCs w:val="18"/>
        </w:rPr>
      </w:pPr>
    </w:p>
    <w:p w14:paraId="252B3553" w14:textId="77777777" w:rsidR="00380118" w:rsidRDefault="00380118" w:rsidP="00380118">
      <w:pPr>
        <w:spacing w:line="240" w:lineRule="auto"/>
        <w:rPr>
          <w:rFonts w:asciiTheme="majorHAnsi" w:hAnsiTheme="majorHAnsi"/>
          <w:sz w:val="18"/>
          <w:szCs w:val="18"/>
        </w:rPr>
      </w:pPr>
    </w:p>
    <w:p w14:paraId="05A9859A" w14:textId="77777777" w:rsidR="00380118" w:rsidRDefault="00380118" w:rsidP="00380118">
      <w:pPr>
        <w:spacing w:line="240" w:lineRule="auto"/>
        <w:rPr>
          <w:rFonts w:asciiTheme="majorHAnsi" w:hAnsiTheme="majorHAnsi"/>
          <w:sz w:val="18"/>
          <w:szCs w:val="18"/>
        </w:rPr>
      </w:pPr>
    </w:p>
    <w:p w14:paraId="53770D42" w14:textId="77777777" w:rsidR="00380118" w:rsidRPr="004124A6" w:rsidRDefault="00380118" w:rsidP="00380118">
      <w:pPr>
        <w:spacing w:line="240" w:lineRule="auto"/>
        <w:rPr>
          <w:rFonts w:asciiTheme="majorHAnsi" w:hAnsiTheme="majorHAnsi" w:cs="Gill Sans"/>
          <w:b/>
          <w:sz w:val="18"/>
          <w:szCs w:val="18"/>
        </w:rPr>
      </w:pPr>
    </w:p>
    <w:p w14:paraId="621A25F9" w14:textId="77777777" w:rsidR="00D85812" w:rsidRDefault="00D85812" w:rsidP="005F1D6D">
      <w:pPr>
        <w:spacing w:line="240" w:lineRule="auto"/>
        <w:rPr>
          <w:rFonts w:asciiTheme="majorHAnsi" w:hAnsiTheme="majorHAnsi"/>
          <w:i/>
          <w:sz w:val="16"/>
          <w:szCs w:val="16"/>
        </w:rPr>
      </w:pPr>
    </w:p>
    <w:p w14:paraId="6894FC42" w14:textId="77777777" w:rsidR="00954BF1" w:rsidRPr="00672E16" w:rsidRDefault="00954BF1" w:rsidP="00954BF1">
      <w:pPr>
        <w:spacing w:line="360" w:lineRule="auto"/>
        <w:rPr>
          <w:rFonts w:asciiTheme="majorHAnsi" w:hAnsiTheme="majorHAnsi" w:cs="Arial"/>
        </w:rPr>
      </w:pPr>
      <w:r>
        <w:rPr>
          <w:rFonts w:cs="Arial"/>
          <w:sz w:val="24"/>
          <w:szCs w:val="24"/>
        </w:rPr>
        <w:lastRenderedPageBreak/>
        <w:t>REVIEW</w:t>
      </w:r>
    </w:p>
    <w:tbl>
      <w:tblPr>
        <w:tblStyle w:val="TableGrid"/>
        <w:tblW w:w="8986" w:type="dxa"/>
        <w:tblLook w:val="04A0" w:firstRow="1" w:lastRow="0" w:firstColumn="1" w:lastColumn="0" w:noHBand="0" w:noVBand="1"/>
      </w:tblPr>
      <w:tblGrid>
        <w:gridCol w:w="2235"/>
        <w:gridCol w:w="2126"/>
        <w:gridCol w:w="2374"/>
        <w:gridCol w:w="319"/>
        <w:gridCol w:w="1932"/>
      </w:tblGrid>
      <w:tr w:rsidR="00954BF1" w:rsidRPr="00151775" w14:paraId="4DF07248" w14:textId="77777777" w:rsidTr="00A81408">
        <w:trPr>
          <w:trHeight w:val="574"/>
        </w:trPr>
        <w:tc>
          <w:tcPr>
            <w:tcW w:w="2235" w:type="dxa"/>
            <w:shd w:val="clear" w:color="auto" w:fill="F2F2F2" w:themeFill="background1" w:themeFillShade="F2"/>
            <w:vAlign w:val="center"/>
          </w:tcPr>
          <w:p w14:paraId="369E5E92"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749EE4C5" w14:textId="23938AE5" w:rsidR="00954BF1" w:rsidRPr="009C4400" w:rsidRDefault="00D85812" w:rsidP="00D85812">
            <w:pPr>
              <w:rPr>
                <w:rFonts w:ascii="Calibri Light" w:hAnsi="Calibri Light"/>
                <w:color w:val="000000" w:themeColor="text1"/>
                <w:sz w:val="24"/>
                <w:szCs w:val="24"/>
              </w:rPr>
            </w:pPr>
            <w:r>
              <w:rPr>
                <w:rFonts w:asciiTheme="majorHAnsi" w:hAnsiTheme="majorHAnsi"/>
                <w:sz w:val="24"/>
                <w:szCs w:val="24"/>
              </w:rPr>
              <w:t>April</w:t>
            </w:r>
            <w:r w:rsidR="00954BF1">
              <w:rPr>
                <w:rFonts w:asciiTheme="majorHAnsi" w:hAnsiTheme="majorHAnsi"/>
                <w:sz w:val="24"/>
                <w:szCs w:val="24"/>
              </w:rPr>
              <w:t xml:space="preserve"> 201</w:t>
            </w:r>
            <w:r w:rsidR="00E5094F">
              <w:rPr>
                <w:rFonts w:asciiTheme="majorHAnsi" w:hAnsiTheme="majorHAnsi"/>
                <w:sz w:val="24"/>
                <w:szCs w:val="24"/>
              </w:rPr>
              <w:t>9</w:t>
            </w:r>
          </w:p>
        </w:tc>
        <w:tc>
          <w:tcPr>
            <w:tcW w:w="2693" w:type="dxa"/>
            <w:gridSpan w:val="2"/>
            <w:shd w:val="clear" w:color="auto" w:fill="D9D9D9" w:themeFill="background1" w:themeFillShade="D9"/>
            <w:vAlign w:val="center"/>
          </w:tcPr>
          <w:p w14:paraId="0EBB62B0"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1932" w:type="dxa"/>
            <w:shd w:val="clear" w:color="auto" w:fill="D9D9D9" w:themeFill="background1" w:themeFillShade="D9"/>
            <w:vAlign w:val="center"/>
          </w:tcPr>
          <w:p w14:paraId="45C5BD00" w14:textId="4AD2C40B" w:rsidR="00954BF1" w:rsidRPr="00093E2D" w:rsidRDefault="00D85812" w:rsidP="00A81408">
            <w:pPr>
              <w:jc w:val="center"/>
              <w:rPr>
                <w:rFonts w:ascii="Calibri Light" w:hAnsi="Calibri Light"/>
                <w:color w:val="000000" w:themeColor="text1"/>
                <w:sz w:val="24"/>
                <w:szCs w:val="24"/>
              </w:rPr>
            </w:pPr>
            <w:r>
              <w:rPr>
                <w:rFonts w:asciiTheme="majorHAnsi" w:hAnsiTheme="majorHAnsi"/>
                <w:sz w:val="24"/>
                <w:szCs w:val="24"/>
              </w:rPr>
              <w:t xml:space="preserve">April </w:t>
            </w:r>
            <w:r w:rsidR="00E5094F">
              <w:rPr>
                <w:rFonts w:asciiTheme="majorHAnsi" w:hAnsiTheme="majorHAnsi"/>
                <w:sz w:val="24"/>
                <w:szCs w:val="24"/>
              </w:rPr>
              <w:t>2020</w:t>
            </w:r>
          </w:p>
        </w:tc>
      </w:tr>
      <w:tr w:rsidR="00954BF1" w14:paraId="3F679D1B" w14:textId="77777777" w:rsidTr="00D85812">
        <w:trPr>
          <w:trHeight w:val="1325"/>
        </w:trPr>
        <w:tc>
          <w:tcPr>
            <w:tcW w:w="2235" w:type="dxa"/>
            <w:vAlign w:val="center"/>
          </w:tcPr>
          <w:p w14:paraId="1C5D005C" w14:textId="77777777" w:rsidR="00954BF1" w:rsidRPr="0045799A" w:rsidRDefault="00954BF1" w:rsidP="00A81408">
            <w:pPr>
              <w:jc w:val="center"/>
              <w:rPr>
                <w:rFonts w:asciiTheme="majorHAnsi" w:hAnsiTheme="majorHAnsi"/>
              </w:rPr>
            </w:pPr>
            <w:r>
              <w:rPr>
                <w:rFonts w:ascii="Calibri Light" w:hAnsi="Calibri Light"/>
                <w:color w:val="000000" w:themeColor="text1"/>
                <w:sz w:val="24"/>
                <w:szCs w:val="24"/>
              </w:rPr>
              <w:t>MODIFICATIONS</w:t>
            </w:r>
          </w:p>
        </w:tc>
        <w:tc>
          <w:tcPr>
            <w:tcW w:w="6751" w:type="dxa"/>
            <w:gridSpan w:val="4"/>
            <w:vAlign w:val="center"/>
          </w:tcPr>
          <w:p w14:paraId="41398048" w14:textId="77777777" w:rsidR="000A455D" w:rsidRPr="008D1A13" w:rsidRDefault="000A455D" w:rsidP="000A455D">
            <w:pPr>
              <w:pStyle w:val="ListParagraph"/>
              <w:numPr>
                <w:ilvl w:val="0"/>
                <w:numId w:val="1"/>
              </w:numPr>
              <w:rPr>
                <w:rFonts w:ascii="Calibri Light" w:hAnsi="Calibri Light"/>
                <w:highlight w:val="yellow"/>
              </w:rPr>
            </w:pPr>
            <w:r w:rsidRPr="008D1A13">
              <w:rPr>
                <w:rFonts w:ascii="Calibri Light" w:hAnsi="Calibri Light"/>
                <w:highlight w:val="yellow"/>
              </w:rPr>
              <w:t>Introduction changed</w:t>
            </w:r>
          </w:p>
          <w:p w14:paraId="55FB2438" w14:textId="77777777" w:rsidR="000A455D" w:rsidRPr="008D1A13" w:rsidRDefault="000A455D" w:rsidP="000A455D">
            <w:pPr>
              <w:pStyle w:val="ListParagraph"/>
              <w:numPr>
                <w:ilvl w:val="0"/>
                <w:numId w:val="1"/>
              </w:numPr>
              <w:rPr>
                <w:rFonts w:ascii="Calibri Light" w:hAnsi="Calibri Light"/>
                <w:highlight w:val="yellow"/>
              </w:rPr>
            </w:pPr>
            <w:r w:rsidRPr="008D1A13">
              <w:rPr>
                <w:rFonts w:ascii="Calibri Light" w:hAnsi="Calibri Light"/>
                <w:highlight w:val="yellow"/>
              </w:rPr>
              <w:t>Irrelevant information deleted.</w:t>
            </w:r>
          </w:p>
          <w:p w14:paraId="29F537BA" w14:textId="7A5B9872" w:rsidR="00954BF1" w:rsidRPr="000A455D" w:rsidRDefault="000A455D" w:rsidP="000A455D">
            <w:pPr>
              <w:pStyle w:val="ListParagraph"/>
              <w:numPr>
                <w:ilvl w:val="0"/>
                <w:numId w:val="1"/>
              </w:numPr>
              <w:rPr>
                <w:rFonts w:ascii="Calibri Light" w:hAnsi="Calibri Light"/>
                <w:highlight w:val="yellow"/>
              </w:rPr>
            </w:pPr>
            <w:r w:rsidRPr="008D1A13">
              <w:rPr>
                <w:rFonts w:ascii="Calibri Light" w:hAnsi="Calibri Light"/>
                <w:highlight w:val="yellow"/>
              </w:rPr>
              <w:t>Sources/references corrected, updated, and alphabetised.</w:t>
            </w:r>
          </w:p>
        </w:tc>
      </w:tr>
      <w:tr w:rsidR="00954BF1" w14:paraId="29CF33AA" w14:textId="77777777" w:rsidTr="00A81408">
        <w:trPr>
          <w:trHeight w:val="611"/>
        </w:trPr>
        <w:tc>
          <w:tcPr>
            <w:tcW w:w="2235" w:type="dxa"/>
            <w:shd w:val="clear" w:color="auto" w:fill="E7E6E6" w:themeFill="background2"/>
            <w:vAlign w:val="center"/>
          </w:tcPr>
          <w:p w14:paraId="0502FA0A" w14:textId="77777777" w:rsidR="00954BF1"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00" w:type="dxa"/>
            <w:gridSpan w:val="2"/>
            <w:shd w:val="clear" w:color="auto" w:fill="E7E6E6" w:themeFill="background2"/>
            <w:vAlign w:val="center"/>
          </w:tcPr>
          <w:p w14:paraId="5E3F1451" w14:textId="77777777" w:rsidR="00954BF1" w:rsidRPr="00552B14" w:rsidRDefault="00954BF1" w:rsidP="00A81408">
            <w:pPr>
              <w:rPr>
                <w:rFonts w:ascii="Calibri Light" w:hAnsi="Calibri Light"/>
              </w:rPr>
            </w:pPr>
            <w:r>
              <w:rPr>
                <w:rFonts w:ascii="Calibri Light" w:hAnsi="Calibri Light"/>
                <w:color w:val="000000" w:themeColor="text1"/>
                <w:sz w:val="24"/>
                <w:szCs w:val="24"/>
              </w:rPr>
              <w:t>PREVIOUS MODIFICATIONS</w:t>
            </w:r>
          </w:p>
        </w:tc>
        <w:tc>
          <w:tcPr>
            <w:tcW w:w="2251" w:type="dxa"/>
            <w:gridSpan w:val="2"/>
            <w:shd w:val="clear" w:color="auto" w:fill="E7E6E6" w:themeFill="background2"/>
            <w:vAlign w:val="center"/>
          </w:tcPr>
          <w:p w14:paraId="34FB5A97" w14:textId="77777777" w:rsidR="00954BF1" w:rsidRPr="00552B14" w:rsidRDefault="00954BF1" w:rsidP="00A81408">
            <w:pPr>
              <w:rPr>
                <w:rFonts w:ascii="Calibri Light" w:hAnsi="Calibri Light"/>
              </w:rPr>
            </w:pPr>
            <w:r w:rsidRPr="009C4400">
              <w:rPr>
                <w:rFonts w:ascii="Calibri Light" w:hAnsi="Calibri Light"/>
                <w:color w:val="000000" w:themeColor="text1"/>
                <w:sz w:val="24"/>
                <w:szCs w:val="24"/>
              </w:rPr>
              <w:t>NEXT REVIEW DATE</w:t>
            </w:r>
          </w:p>
        </w:tc>
      </w:tr>
      <w:tr w:rsidR="00954BF1" w14:paraId="2521A769" w14:textId="77777777" w:rsidTr="00380118">
        <w:trPr>
          <w:trHeight w:val="1240"/>
        </w:trPr>
        <w:tc>
          <w:tcPr>
            <w:tcW w:w="2235" w:type="dxa"/>
            <w:vAlign w:val="center"/>
          </w:tcPr>
          <w:p w14:paraId="0CFDCE50" w14:textId="2EE4EE9C" w:rsidR="00954BF1" w:rsidRPr="009C4400" w:rsidRDefault="00D85812" w:rsidP="00A81408">
            <w:pPr>
              <w:jc w:val="center"/>
              <w:rPr>
                <w:rFonts w:ascii="Calibri Light" w:hAnsi="Calibri Light"/>
                <w:color w:val="000000" w:themeColor="text1"/>
                <w:sz w:val="24"/>
                <w:szCs w:val="24"/>
              </w:rPr>
            </w:pPr>
            <w:r>
              <w:rPr>
                <w:rFonts w:asciiTheme="majorHAnsi" w:hAnsiTheme="majorHAnsi"/>
                <w:sz w:val="24"/>
                <w:szCs w:val="24"/>
              </w:rPr>
              <w:t>April</w:t>
            </w:r>
            <w:r w:rsidR="00E5094F">
              <w:rPr>
                <w:rFonts w:ascii="Calibri Light" w:hAnsi="Calibri Light"/>
                <w:color w:val="000000" w:themeColor="text1"/>
                <w:sz w:val="24"/>
                <w:szCs w:val="24"/>
              </w:rPr>
              <w:t xml:space="preserve"> 2018</w:t>
            </w:r>
          </w:p>
        </w:tc>
        <w:tc>
          <w:tcPr>
            <w:tcW w:w="4500" w:type="dxa"/>
            <w:gridSpan w:val="2"/>
            <w:vAlign w:val="center"/>
          </w:tcPr>
          <w:p w14:paraId="6941BB94" w14:textId="5E2324DA" w:rsidR="000A455D" w:rsidRPr="000A455D" w:rsidRDefault="000A455D" w:rsidP="000A455D">
            <w:pPr>
              <w:pStyle w:val="ListParagraph"/>
              <w:numPr>
                <w:ilvl w:val="0"/>
                <w:numId w:val="10"/>
              </w:numPr>
              <w:rPr>
                <w:rFonts w:ascii="Calibri Light" w:hAnsi="Calibri Light"/>
              </w:rPr>
            </w:pPr>
            <w:r w:rsidRPr="000A455D">
              <w:rPr>
                <w:rFonts w:ascii="Calibri Light" w:hAnsi="Calibri Light"/>
              </w:rPr>
              <w:t xml:space="preserve">Minor terminology and grammatical adjustments made to further support understanding and implementation </w:t>
            </w:r>
          </w:p>
          <w:p w14:paraId="7FE08676" w14:textId="19C61913" w:rsidR="00954BF1" w:rsidRPr="00D4788B" w:rsidRDefault="000A455D" w:rsidP="000A455D">
            <w:pPr>
              <w:pStyle w:val="ListParagraph"/>
              <w:numPr>
                <w:ilvl w:val="0"/>
                <w:numId w:val="2"/>
              </w:numPr>
              <w:rPr>
                <w:rFonts w:asciiTheme="majorHAnsi" w:hAnsiTheme="majorHAnsi"/>
                <w:lang w:val="en-US"/>
              </w:rPr>
            </w:pPr>
            <w:r w:rsidRPr="009B1C59">
              <w:rPr>
                <w:rFonts w:ascii="Calibri Light" w:hAnsi="Calibri Light"/>
              </w:rPr>
              <w:t>Included the list of related policies</w:t>
            </w:r>
          </w:p>
        </w:tc>
        <w:tc>
          <w:tcPr>
            <w:tcW w:w="2251" w:type="dxa"/>
            <w:gridSpan w:val="2"/>
            <w:vAlign w:val="center"/>
          </w:tcPr>
          <w:p w14:paraId="63934DEF" w14:textId="42E2EE62" w:rsidR="00954BF1" w:rsidRPr="009C4400" w:rsidRDefault="00D85812" w:rsidP="00A81408">
            <w:pPr>
              <w:jc w:val="center"/>
              <w:rPr>
                <w:rFonts w:ascii="Calibri Light" w:hAnsi="Calibri Light"/>
                <w:color w:val="000000" w:themeColor="text1"/>
                <w:sz w:val="24"/>
                <w:szCs w:val="24"/>
              </w:rPr>
            </w:pPr>
            <w:r>
              <w:rPr>
                <w:rFonts w:asciiTheme="majorHAnsi" w:hAnsiTheme="majorHAnsi"/>
                <w:sz w:val="24"/>
                <w:szCs w:val="24"/>
              </w:rPr>
              <w:t>April</w:t>
            </w:r>
            <w:r w:rsidR="00E5094F">
              <w:rPr>
                <w:rFonts w:asciiTheme="majorHAnsi" w:hAnsiTheme="majorHAnsi"/>
                <w:sz w:val="24"/>
                <w:szCs w:val="24"/>
              </w:rPr>
              <w:t xml:space="preserve"> 2019</w:t>
            </w:r>
          </w:p>
        </w:tc>
      </w:tr>
      <w:tr w:rsidR="002C4D32" w14:paraId="4A280993" w14:textId="77777777" w:rsidTr="002C4D32">
        <w:trPr>
          <w:trHeight w:val="745"/>
        </w:trPr>
        <w:tc>
          <w:tcPr>
            <w:tcW w:w="2235" w:type="dxa"/>
            <w:shd w:val="clear" w:color="auto" w:fill="F2F2F2" w:themeFill="background1" w:themeFillShade="F2"/>
            <w:vAlign w:val="center"/>
          </w:tcPr>
          <w:p w14:paraId="09EAB118" w14:textId="663ACC81" w:rsidR="002C4D32" w:rsidRDefault="002C4D32" w:rsidP="00A81408">
            <w:pPr>
              <w:jc w:val="center"/>
              <w:rPr>
                <w:rFonts w:ascii="Calibri Light" w:hAnsi="Calibri Light"/>
                <w:color w:val="000000" w:themeColor="text1"/>
                <w:sz w:val="24"/>
                <w:szCs w:val="24"/>
              </w:rPr>
            </w:pPr>
            <w:r>
              <w:rPr>
                <w:rFonts w:ascii="Calibri Light" w:hAnsi="Calibri Light"/>
                <w:color w:val="000000" w:themeColor="text1"/>
                <w:sz w:val="24"/>
                <w:szCs w:val="24"/>
              </w:rPr>
              <w:t>October 2017</w:t>
            </w:r>
          </w:p>
        </w:tc>
        <w:tc>
          <w:tcPr>
            <w:tcW w:w="4500" w:type="dxa"/>
            <w:gridSpan w:val="2"/>
            <w:shd w:val="clear" w:color="auto" w:fill="F2F2F2" w:themeFill="background1" w:themeFillShade="F2"/>
            <w:vAlign w:val="center"/>
          </w:tcPr>
          <w:p w14:paraId="0B98A27D" w14:textId="24236A84" w:rsidR="002C4D32" w:rsidRPr="002C4D32" w:rsidRDefault="00B35707" w:rsidP="000A455D">
            <w:pPr>
              <w:pStyle w:val="ListParagraph"/>
              <w:numPr>
                <w:ilvl w:val="0"/>
                <w:numId w:val="5"/>
              </w:numPr>
              <w:rPr>
                <w:rFonts w:asciiTheme="majorHAnsi" w:hAnsiTheme="majorHAnsi"/>
              </w:rPr>
            </w:pPr>
            <w:r w:rsidRPr="0045377A">
              <w:rPr>
                <w:rFonts w:asciiTheme="majorHAnsi" w:hAnsiTheme="majorHAnsi"/>
              </w:rPr>
              <w:t>Updated the references to comply with the revised National Quality Standard</w:t>
            </w:r>
          </w:p>
        </w:tc>
        <w:tc>
          <w:tcPr>
            <w:tcW w:w="2251" w:type="dxa"/>
            <w:gridSpan w:val="2"/>
            <w:shd w:val="clear" w:color="auto" w:fill="F2F2F2" w:themeFill="background1" w:themeFillShade="F2"/>
            <w:vAlign w:val="center"/>
          </w:tcPr>
          <w:p w14:paraId="799E54CC" w14:textId="4EAB326D" w:rsidR="002C4D32" w:rsidRDefault="00D85812" w:rsidP="00A81408">
            <w:pPr>
              <w:jc w:val="center"/>
              <w:rPr>
                <w:rFonts w:asciiTheme="majorHAnsi" w:hAnsiTheme="majorHAnsi"/>
                <w:sz w:val="24"/>
                <w:szCs w:val="24"/>
              </w:rPr>
            </w:pPr>
            <w:r>
              <w:rPr>
                <w:rFonts w:asciiTheme="majorHAnsi" w:hAnsiTheme="majorHAnsi"/>
                <w:sz w:val="24"/>
                <w:szCs w:val="24"/>
              </w:rPr>
              <w:t xml:space="preserve">April </w:t>
            </w:r>
            <w:r w:rsidR="002C4D32">
              <w:rPr>
                <w:rFonts w:asciiTheme="majorHAnsi" w:hAnsiTheme="majorHAnsi"/>
                <w:sz w:val="24"/>
                <w:szCs w:val="24"/>
              </w:rPr>
              <w:t>2018</w:t>
            </w:r>
          </w:p>
        </w:tc>
      </w:tr>
      <w:tr w:rsidR="002C4D32" w14:paraId="0036B699" w14:textId="77777777" w:rsidTr="00380118">
        <w:trPr>
          <w:trHeight w:val="2076"/>
        </w:trPr>
        <w:tc>
          <w:tcPr>
            <w:tcW w:w="2235" w:type="dxa"/>
            <w:vAlign w:val="center"/>
          </w:tcPr>
          <w:p w14:paraId="18BB2753" w14:textId="3EBC4A60" w:rsidR="002C4D32" w:rsidRDefault="00D85812" w:rsidP="00A81408">
            <w:pPr>
              <w:jc w:val="center"/>
              <w:rPr>
                <w:rFonts w:ascii="Calibri Light" w:hAnsi="Calibri Light"/>
                <w:color w:val="000000" w:themeColor="text1"/>
                <w:sz w:val="24"/>
                <w:szCs w:val="24"/>
              </w:rPr>
            </w:pPr>
            <w:r>
              <w:rPr>
                <w:rFonts w:asciiTheme="majorHAnsi" w:hAnsiTheme="majorHAnsi"/>
                <w:sz w:val="24"/>
                <w:szCs w:val="24"/>
              </w:rPr>
              <w:t>April</w:t>
            </w:r>
            <w:r w:rsidR="002C4D32">
              <w:rPr>
                <w:rFonts w:ascii="Calibri Light" w:hAnsi="Calibri Light"/>
                <w:color w:val="000000" w:themeColor="text1"/>
                <w:sz w:val="24"/>
                <w:szCs w:val="24"/>
              </w:rPr>
              <w:t xml:space="preserve"> 2017</w:t>
            </w:r>
          </w:p>
        </w:tc>
        <w:tc>
          <w:tcPr>
            <w:tcW w:w="4500" w:type="dxa"/>
            <w:gridSpan w:val="2"/>
            <w:vAlign w:val="center"/>
          </w:tcPr>
          <w:p w14:paraId="3CCD8EFB" w14:textId="77777777" w:rsidR="00380118" w:rsidRPr="00380118" w:rsidRDefault="00380118" w:rsidP="00380118">
            <w:pPr>
              <w:pStyle w:val="ListParagraph"/>
              <w:numPr>
                <w:ilvl w:val="0"/>
                <w:numId w:val="5"/>
              </w:numPr>
              <w:rPr>
                <w:rFonts w:ascii="Calibri Light" w:hAnsi="Calibri Light"/>
              </w:rPr>
            </w:pPr>
            <w:r w:rsidRPr="00380118">
              <w:rPr>
                <w:rFonts w:ascii="Calibri Light" w:hAnsi="Calibri Light"/>
              </w:rPr>
              <w:t xml:space="preserve">Minor changes made to Educators and Nominated Supervisor roles and responsibilities to ensure a compliant and safe environment for children.  </w:t>
            </w:r>
          </w:p>
          <w:p w14:paraId="5EE048EF" w14:textId="34F30036" w:rsidR="002C4D32" w:rsidRPr="002C4D32" w:rsidRDefault="00380118" w:rsidP="00380118">
            <w:pPr>
              <w:pStyle w:val="ListParagraph"/>
              <w:numPr>
                <w:ilvl w:val="0"/>
                <w:numId w:val="5"/>
              </w:numPr>
              <w:rPr>
                <w:rFonts w:asciiTheme="majorHAnsi" w:hAnsiTheme="majorHAnsi"/>
              </w:rPr>
            </w:pPr>
            <w:r w:rsidRPr="009B1C59">
              <w:rPr>
                <w:rFonts w:ascii="Calibri Light" w:hAnsi="Calibri Light"/>
              </w:rPr>
              <w:t>Updated to meet the National Law and/or National Regulations in respect of a serious incidents and notification purposes.</w:t>
            </w:r>
          </w:p>
        </w:tc>
        <w:tc>
          <w:tcPr>
            <w:tcW w:w="2251" w:type="dxa"/>
            <w:gridSpan w:val="2"/>
            <w:vAlign w:val="center"/>
          </w:tcPr>
          <w:p w14:paraId="5D5AD1FD" w14:textId="78D4CB01" w:rsidR="002C4D32" w:rsidRDefault="00D85812" w:rsidP="00A81408">
            <w:pPr>
              <w:jc w:val="center"/>
              <w:rPr>
                <w:rFonts w:asciiTheme="majorHAnsi" w:hAnsiTheme="majorHAnsi"/>
                <w:sz w:val="24"/>
                <w:szCs w:val="24"/>
              </w:rPr>
            </w:pPr>
            <w:r>
              <w:rPr>
                <w:rFonts w:asciiTheme="majorHAnsi" w:hAnsiTheme="majorHAnsi"/>
                <w:sz w:val="24"/>
                <w:szCs w:val="24"/>
              </w:rPr>
              <w:t xml:space="preserve">April </w:t>
            </w:r>
            <w:r w:rsidR="002C4D32">
              <w:rPr>
                <w:rFonts w:asciiTheme="majorHAnsi" w:hAnsiTheme="majorHAnsi"/>
                <w:sz w:val="24"/>
                <w:szCs w:val="24"/>
              </w:rPr>
              <w:t>2018</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8"/>
      <w:footerReference w:type="default" r:id="rId9"/>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D6AEE" w14:textId="77777777" w:rsidR="00D514C9" w:rsidRDefault="00D514C9" w:rsidP="0021486F">
      <w:pPr>
        <w:spacing w:after="0" w:line="240" w:lineRule="auto"/>
      </w:pPr>
      <w:r>
        <w:separator/>
      </w:r>
    </w:p>
  </w:endnote>
  <w:endnote w:type="continuationSeparator" w:id="0">
    <w:p w14:paraId="6EABCF04" w14:textId="77777777" w:rsidR="00D514C9" w:rsidRDefault="00D514C9"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C6F1" w14:textId="5FCA4678" w:rsidR="000A455D" w:rsidRDefault="000A455D" w:rsidP="00F83C27">
    <w:pPr>
      <w:pStyle w:val="Footer"/>
      <w:spacing w:before="240"/>
    </w:pPr>
    <w:r w:rsidRPr="00BF758C">
      <w:rPr>
        <w:noProof/>
        <w:color w:val="22A1BB"/>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BF758C">
      <w:rPr>
        <w:rFonts w:ascii="Calibri Light" w:hAnsi="Calibri Light"/>
        <w:color w:val="22A1BB"/>
        <w:sz w:val="18"/>
        <w:szCs w:val="18"/>
      </w:rPr>
      <w:t>Childcare Centre Desktop ©201</w:t>
    </w:r>
    <w:r>
      <w:rPr>
        <w:rFonts w:ascii="Calibri Light" w:hAnsi="Calibri Light"/>
        <w:color w:val="22A1BB"/>
        <w:sz w:val="18"/>
        <w:szCs w:val="18"/>
      </w:rPr>
      <w:t>9</w:t>
    </w:r>
    <w:r w:rsidRPr="009059BD">
      <w:rPr>
        <w:rFonts w:ascii="Calibri Light" w:hAnsi="Calibri Light"/>
        <w:color w:val="EEAB2E"/>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380118">
      <w:rPr>
        <w:rFonts w:ascii="Calibri Light" w:hAnsi="Calibri Light"/>
        <w:sz w:val="18"/>
        <w:szCs w:val="18"/>
        <w:lang w:val="en-US"/>
      </w:rPr>
      <w:t>Supervision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B44EB" w14:textId="77777777" w:rsidR="00D514C9" w:rsidRDefault="00D514C9" w:rsidP="0021486F">
      <w:pPr>
        <w:spacing w:after="0" w:line="240" w:lineRule="auto"/>
      </w:pPr>
      <w:r>
        <w:separator/>
      </w:r>
    </w:p>
  </w:footnote>
  <w:footnote w:type="continuationSeparator" w:id="0">
    <w:p w14:paraId="7B8BDFCA" w14:textId="77777777" w:rsidR="00D514C9" w:rsidRDefault="00D514C9"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05E5" w14:textId="3953938A" w:rsidR="000A455D" w:rsidRDefault="000A455D">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358A299">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0A455D" w:rsidRPr="004A79B2" w:rsidRDefault="000A455D"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8" o:spid="_x0000_s1026" style="position:absolute;margin-left:-71.95pt;margin-top:-20.95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" fillcolor="#22a1bb" stroked="f" strokeweight=".5pt">
              <v:textbox>
                <w:txbxContent>
                  <w:p w14:paraId="43E69882" w14:textId="77777777" w:rsidR="000A455D" w:rsidRPr="004A79B2" w:rsidRDefault="000A455D"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0A455D" w:rsidRPr="00865E0A" w:rsidRDefault="000A455D"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0" o:spid="_x0000_s1027" type="#_x0000_t202" style="position:absolute;margin-left:353.3pt;margin-top:-20.95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" fillcolor="#333c44" stroked="f">
              <v:textbox>
                <w:txbxContent>
                  <w:p w14:paraId="36787074" w14:textId="77777777" w:rsidR="000A455D" w:rsidRPr="00865E0A" w:rsidRDefault="000A455D"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0A455D" w:rsidRPr="004E7272" w:rsidRDefault="000A455D"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Text Box 4" o:spid="_x0000_s1028" type="#_x0000_t202" style="position:absolute;margin-left:-24.25pt;margin-top:-17.3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" filled="f" stroked="f">
              <v:textbox>
                <w:txbxContent>
                  <w:p w14:paraId="32AB4840" w14:textId="77777777" w:rsidR="000A455D" w:rsidRPr="004E7272" w:rsidRDefault="000A455D"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D6B"/>
    <w:multiLevelType w:val="hybridMultilevel"/>
    <w:tmpl w:val="2EE0AC86"/>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BBE3332"/>
    <w:multiLevelType w:val="hybridMultilevel"/>
    <w:tmpl w:val="703C217E"/>
    <w:lvl w:ilvl="0" w:tplc="00000001">
      <w:start w:val="1"/>
      <w:numFmt w:val="bullet"/>
      <w:lvlText w:val="•"/>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725A3"/>
    <w:multiLevelType w:val="hybridMultilevel"/>
    <w:tmpl w:val="122A262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A5D65"/>
    <w:multiLevelType w:val="hybridMultilevel"/>
    <w:tmpl w:val="D2B60B7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D119AC"/>
    <w:multiLevelType w:val="hybridMultilevel"/>
    <w:tmpl w:val="18F25D16"/>
    <w:lvl w:ilvl="0" w:tplc="00000001">
      <w:start w:val="1"/>
      <w:numFmt w:val="bullet"/>
      <w:lvlText w:val="•"/>
      <w:lvlJc w:val="left"/>
      <w:pPr>
        <w:ind w:left="72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5FBB647E"/>
    <w:multiLevelType w:val="hybridMultilevel"/>
    <w:tmpl w:val="E528C6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93117F"/>
    <w:multiLevelType w:val="hybridMultilevel"/>
    <w:tmpl w:val="DE4C835A"/>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0"/>
  </w:num>
  <w:num w:numId="4">
    <w:abstractNumId w:val="2"/>
  </w:num>
  <w:num w:numId="5">
    <w:abstractNumId w:val="5"/>
  </w:num>
  <w:num w:numId="6">
    <w:abstractNumId w:val="1"/>
  </w:num>
  <w:num w:numId="7">
    <w:abstractNumId w:val="4"/>
  </w:num>
  <w:num w:numId="8">
    <w:abstractNumId w:val="8"/>
  </w:num>
  <w:num w:numId="9">
    <w:abstractNumId w:val="6"/>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CA0"/>
    <w:rsid w:val="00034A58"/>
    <w:rsid w:val="0005762D"/>
    <w:rsid w:val="000A455D"/>
    <w:rsid w:val="000A7C7A"/>
    <w:rsid w:val="000B5720"/>
    <w:rsid w:val="001116BE"/>
    <w:rsid w:val="0013625E"/>
    <w:rsid w:val="00136ABB"/>
    <w:rsid w:val="00151775"/>
    <w:rsid w:val="001B42D4"/>
    <w:rsid w:val="001C66CA"/>
    <w:rsid w:val="001D1E2C"/>
    <w:rsid w:val="00201E0F"/>
    <w:rsid w:val="0021486F"/>
    <w:rsid w:val="00233657"/>
    <w:rsid w:val="00244E80"/>
    <w:rsid w:val="002C4D32"/>
    <w:rsid w:val="0032241B"/>
    <w:rsid w:val="0032350F"/>
    <w:rsid w:val="00344B89"/>
    <w:rsid w:val="0036669C"/>
    <w:rsid w:val="00380118"/>
    <w:rsid w:val="00392FD5"/>
    <w:rsid w:val="003A4132"/>
    <w:rsid w:val="003A4C16"/>
    <w:rsid w:val="003C7649"/>
    <w:rsid w:val="003D6AF9"/>
    <w:rsid w:val="003F59E7"/>
    <w:rsid w:val="003F6504"/>
    <w:rsid w:val="004124A6"/>
    <w:rsid w:val="004162A3"/>
    <w:rsid w:val="0042395E"/>
    <w:rsid w:val="0045799A"/>
    <w:rsid w:val="004A79B2"/>
    <w:rsid w:val="004B1ABE"/>
    <w:rsid w:val="004D6709"/>
    <w:rsid w:val="005504F7"/>
    <w:rsid w:val="005D148A"/>
    <w:rsid w:val="005D7F72"/>
    <w:rsid w:val="005F1D6D"/>
    <w:rsid w:val="005F6F48"/>
    <w:rsid w:val="006A01FF"/>
    <w:rsid w:val="00754AEB"/>
    <w:rsid w:val="007764EA"/>
    <w:rsid w:val="007E1EE6"/>
    <w:rsid w:val="008145AF"/>
    <w:rsid w:val="008E6DC8"/>
    <w:rsid w:val="008F4F94"/>
    <w:rsid w:val="009042A1"/>
    <w:rsid w:val="009059BD"/>
    <w:rsid w:val="00910CA0"/>
    <w:rsid w:val="00954BF1"/>
    <w:rsid w:val="0097559D"/>
    <w:rsid w:val="009B6618"/>
    <w:rsid w:val="009C4400"/>
    <w:rsid w:val="009D4235"/>
    <w:rsid w:val="00A07751"/>
    <w:rsid w:val="00A26872"/>
    <w:rsid w:val="00A34AC1"/>
    <w:rsid w:val="00A406A2"/>
    <w:rsid w:val="00A81408"/>
    <w:rsid w:val="00A97992"/>
    <w:rsid w:val="00AA21B4"/>
    <w:rsid w:val="00AB1AA1"/>
    <w:rsid w:val="00AF6C03"/>
    <w:rsid w:val="00B35707"/>
    <w:rsid w:val="00B70EE2"/>
    <w:rsid w:val="00B72B18"/>
    <w:rsid w:val="00BD01D0"/>
    <w:rsid w:val="00BF758C"/>
    <w:rsid w:val="00CA7CA4"/>
    <w:rsid w:val="00CC440D"/>
    <w:rsid w:val="00CC447C"/>
    <w:rsid w:val="00D00F97"/>
    <w:rsid w:val="00D168BA"/>
    <w:rsid w:val="00D4010C"/>
    <w:rsid w:val="00D4338B"/>
    <w:rsid w:val="00D514C9"/>
    <w:rsid w:val="00D656E1"/>
    <w:rsid w:val="00D76176"/>
    <w:rsid w:val="00D85812"/>
    <w:rsid w:val="00DB2519"/>
    <w:rsid w:val="00DB2B22"/>
    <w:rsid w:val="00DC50C3"/>
    <w:rsid w:val="00E5094F"/>
    <w:rsid w:val="00EB0FC2"/>
    <w:rsid w:val="00EE597E"/>
    <w:rsid w:val="00F01B4D"/>
    <w:rsid w:val="00F235D4"/>
    <w:rsid w:val="00F34D49"/>
    <w:rsid w:val="00F5739C"/>
    <w:rsid w:val="00F83C27"/>
    <w:rsid w:val="00F852F9"/>
    <w:rsid w:val="00FA4F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35D38"/>
  <w15:docId w15:val="{3E09B51B-089C-654C-861B-2F24E179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4"/>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4"/>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4"/>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4"/>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4"/>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D85812"/>
    <w:pPr>
      <w:spacing w:after="0" w:line="240" w:lineRule="auto"/>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CD1A-29A0-9D4A-9140-CC37B844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Mark Evans</cp:lastModifiedBy>
  <cp:revision>4</cp:revision>
  <dcterms:created xsi:type="dcterms:W3CDTF">2019-04-21T03:47:00Z</dcterms:created>
  <dcterms:modified xsi:type="dcterms:W3CDTF">2019-04-23T23:40:00Z</dcterms:modified>
</cp:coreProperties>
</file>